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38" w:rsidRDefault="00225038" w:rsidP="00225038">
      <w:pPr>
        <w:rPr>
          <w:lang w:val="es-AR"/>
        </w:rPr>
      </w:pPr>
      <w:r>
        <w:rPr>
          <w:noProof/>
          <w:lang w:val="es-AR" w:eastAsia="es-AR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3440</wp:posOffset>
            </wp:positionH>
            <wp:positionV relativeFrom="page">
              <wp:posOffset>382137</wp:posOffset>
            </wp:positionV>
            <wp:extent cx="2553553" cy="457200"/>
            <wp:effectExtent l="19050" t="0" r="0" b="0"/>
            <wp:wrapNone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9-03-27 a la(s) 13.12.03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l="16057" t="18503" r="50000" b="72320"/>
                    <a:stretch>
                      <a:fillRect/>
                    </a:stretch>
                  </pic:blipFill>
                  <pic:spPr>
                    <a:xfrm>
                      <a:off x="0" y="0"/>
                      <a:ext cx="2553553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25038" w:rsidRPr="00B218EF" w:rsidRDefault="00225038" w:rsidP="00225038">
      <w:pPr>
        <w:rPr>
          <w:rFonts w:ascii="Arial" w:hAnsi="Arial" w:cs="Arial"/>
          <w:color w:val="7F7F7F" w:themeColor="text1" w:themeTint="80"/>
          <w:sz w:val="18"/>
          <w:szCs w:val="18"/>
          <w:lang w:val="es-AR"/>
        </w:rPr>
      </w:pPr>
      <w:r w:rsidRPr="00B218EF">
        <w:rPr>
          <w:rFonts w:ascii="Arial" w:hAnsi="Arial" w:cs="Arial"/>
          <w:color w:val="7F7F7F" w:themeColor="text1" w:themeTint="80"/>
          <w:sz w:val="18"/>
          <w:szCs w:val="18"/>
          <w:lang w:val="es-AR"/>
        </w:rPr>
        <w:t xml:space="preserve">En esta oportunidad el Dr. Juan Manuel Bonelli, Médico Cardiólogo, Jefe del Servicio de Diagnóstico por Imágenes Cardiovasculares del Grupo Gamma y Presidente del Comité Tomografía y Resonancia Cardíaca de la Federación Argentina de Cardiología, nos responde algunas preguntas sobre las últimas guías 2021 de Unidad de Dolor Torácico. </w:t>
      </w:r>
    </w:p>
    <w:p w:rsidR="00B218EF" w:rsidRDefault="00DB6783" w:rsidP="00225038">
      <w:pPr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181334</wp:posOffset>
            </wp:positionV>
            <wp:extent cx="291051" cy="238539"/>
            <wp:effectExtent l="19050" t="0" r="0" b="0"/>
            <wp:wrapNone/>
            <wp:docPr id="23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51" cy="23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8EF">
        <w:rPr>
          <w:noProof/>
          <w:lang w:val="es-AR" w:eastAsia="es-AR"/>
        </w:rPr>
        <w:pict>
          <v:roundrect id="_x0000_s1026" style="position:absolute;margin-left:-54.1pt;margin-top:11.3pt;width:545.05pt;height:59.5pt;z-index:251662336;mso-position-horizontal-relative:text;mso-position-vertical-relative:text" arcsize="10923f" fillcolor="#d5eaff" stroked="f" strokecolor="blue"/>
        </w:pict>
      </w:r>
      <w:r w:rsidR="00B218EF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4pt;margin-top:18.25pt;width:488.85pt;height:48.15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225038" w:rsidRPr="00225038" w:rsidRDefault="00225038" w:rsidP="0022503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225038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225038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 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¿Qué hay de nuevo en las guías 2021 en la unidad de dolor torácico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 (UDT)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?</w:t>
                  </w:r>
                </w:p>
                <w:p w:rsidR="00225038" w:rsidRPr="00225038" w:rsidRDefault="00225038" w:rsidP="00225038">
                  <w:pPr>
                    <w:rPr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 </w:t>
                  </w:r>
                  <w:r w:rsidRPr="00225038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s-AR"/>
                    </w:rPr>
                    <w:t xml:space="preserve"> </w:t>
                  </w:r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En esta guía se revisó la terminología previamente utilizada, para incluir el término de placa aterosclerótica no obstructiva (con sus características), además del concepto de obstrucción coronaria.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 </w:t>
                  </w:r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Otro objetivo fue asegurarse de que aquellos pacientes con grados menores de estenosis coronaria que no requieren intervención, sean beneficiados optimizando la terapia (farmacológica) preventiva.</w:t>
                  </w:r>
                </w:p>
              </w:txbxContent>
            </v:textbox>
          </v:shape>
        </w:pict>
      </w:r>
    </w:p>
    <w:p w:rsidR="00B218EF" w:rsidRPr="00225038" w:rsidRDefault="009A3F0E" w:rsidP="00225038">
      <w:pPr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222885</wp:posOffset>
            </wp:positionV>
            <wp:extent cx="289560" cy="284480"/>
            <wp:effectExtent l="19050" t="0" r="0" b="0"/>
            <wp:wrapNone/>
            <wp:docPr id="10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38" w:rsidRPr="00225038" w:rsidRDefault="00225038" w:rsidP="00225038">
      <w:pPr>
        <w:jc w:val="both"/>
        <w:rPr>
          <w:lang w:val="es-AR"/>
        </w:rPr>
      </w:pPr>
    </w:p>
    <w:p w:rsidR="00B218EF" w:rsidRDefault="009A3F0E">
      <w:pPr>
        <w:spacing w:after="200" w:line="276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5731510</wp:posOffset>
            </wp:positionV>
            <wp:extent cx="289560" cy="284480"/>
            <wp:effectExtent l="19050" t="0" r="0" b="0"/>
            <wp:wrapNone/>
            <wp:docPr id="15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636905</wp:posOffset>
            </wp:positionV>
            <wp:extent cx="289560" cy="284480"/>
            <wp:effectExtent l="19050" t="0" r="0" b="0"/>
            <wp:wrapNone/>
            <wp:docPr id="11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1658620</wp:posOffset>
            </wp:positionV>
            <wp:extent cx="289560" cy="284480"/>
            <wp:effectExtent l="19050" t="0" r="0" b="0"/>
            <wp:wrapNone/>
            <wp:docPr id="12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2620010</wp:posOffset>
            </wp:positionV>
            <wp:extent cx="289560" cy="284480"/>
            <wp:effectExtent l="19050" t="0" r="0" b="0"/>
            <wp:wrapNone/>
            <wp:docPr id="13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4318635</wp:posOffset>
            </wp:positionV>
            <wp:extent cx="289560" cy="284480"/>
            <wp:effectExtent l="19050" t="0" r="0" b="0"/>
            <wp:wrapNone/>
            <wp:docPr id="14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 w:rsidRPr="00DB6783">
        <w:rPr>
          <w:noProof/>
          <w:lang w:val="es-AR" w:eastAsia="es-A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-514821</wp:posOffset>
            </wp:positionH>
            <wp:positionV relativeFrom="paragraph">
              <wp:posOffset>5423147</wp:posOffset>
            </wp:positionV>
            <wp:extent cx="289709" cy="237506"/>
            <wp:effectExtent l="19050" t="0" r="0" b="0"/>
            <wp:wrapNone/>
            <wp:docPr id="7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9" cy="2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 w:rsidRPr="00DB6783">
        <w:rPr>
          <w:noProof/>
          <w:lang w:val="es-AR" w:eastAsia="es-A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-514821</wp:posOffset>
            </wp:positionH>
            <wp:positionV relativeFrom="paragraph">
              <wp:posOffset>3962482</wp:posOffset>
            </wp:positionV>
            <wp:extent cx="289709" cy="237506"/>
            <wp:effectExtent l="19050" t="0" r="0" b="0"/>
            <wp:wrapNone/>
            <wp:docPr id="6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9" cy="2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 w:rsidRPr="00DB6783">
        <w:rPr>
          <w:noProof/>
          <w:lang w:val="es-AR" w:eastAsia="es-A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-514821</wp:posOffset>
            </wp:positionH>
            <wp:positionV relativeFrom="paragraph">
              <wp:posOffset>2288062</wp:posOffset>
            </wp:positionV>
            <wp:extent cx="289709" cy="237506"/>
            <wp:effectExtent l="19050" t="0" r="0" b="0"/>
            <wp:wrapNone/>
            <wp:docPr id="5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9" cy="2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 w:rsidRPr="00DB6783">
        <w:rPr>
          <w:noProof/>
          <w:lang w:val="es-AR" w:eastAsia="es-A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-514821</wp:posOffset>
            </wp:positionH>
            <wp:positionV relativeFrom="paragraph">
              <wp:posOffset>1338036</wp:posOffset>
            </wp:positionV>
            <wp:extent cx="289709" cy="237506"/>
            <wp:effectExtent l="19050" t="0" r="0" b="0"/>
            <wp:wrapNone/>
            <wp:docPr id="4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9" cy="2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>
        <w:rPr>
          <w:noProof/>
          <w:lang w:val="es-AR" w:eastAsia="es-A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328295</wp:posOffset>
            </wp:positionV>
            <wp:extent cx="289560" cy="237490"/>
            <wp:effectExtent l="19050" t="0" r="0" b="0"/>
            <wp:wrapNone/>
            <wp:docPr id="3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>
        <w:rPr>
          <w:noProof/>
          <w:lang w:val="es-AR" w:eastAsia="es-AR"/>
        </w:rPr>
        <w:pict>
          <v:roundrect id="_x0000_s1036" style="position:absolute;margin-left:-54.1pt;margin-top:420.15pt;width:545.05pt;height:66.75pt;z-index:251674624;mso-position-horizontal-relative:text;mso-position-vertical-relative:text" arcsize="10923f" fillcolor="#d5eaff" stroked="f" strokecolor="blue"/>
        </w:pict>
      </w:r>
      <w:r w:rsidR="00DB6783">
        <w:rPr>
          <w:noProof/>
          <w:lang w:val="es-AR" w:eastAsia="es-AR"/>
        </w:rPr>
        <w:pict>
          <v:shape id="_x0000_s1037" type="#_x0000_t202" style="position:absolute;margin-left:-3.4pt;margin-top:427.1pt;width:488.85pt;height:59.8pt;z-index:251675648;mso-position-horizontal-relative:text;mso-position-vertical-relative:text;mso-width-relative:margin;mso-height-relative:margin" filled="f" stroked="f">
            <v:textbox style="mso-next-textbox:#_x0000_s1037">
              <w:txbxContent>
                <w:p w:rsidR="00B218EF" w:rsidRPr="00B218EF" w:rsidRDefault="00B218EF" w:rsidP="00B218E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B218EF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B218EF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</w:t>
                  </w:r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¿Qué método de estratificación de riesgo utilizamos en el anginoso crónico?</w:t>
                  </w:r>
                </w:p>
                <w:p w:rsidR="00B218EF" w:rsidRPr="00B218EF" w:rsidRDefault="00B218EF" w:rsidP="00B218EF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B218EF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B218EF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B218EF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</w:t>
                  </w:r>
                  <w:r w:rsidRPr="00B218EF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Las nuevas formas de estratificación se hacen a través de la Probabilidad Pre test basadas en los síntomas, sexo y edad del paciente.  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Si es menor al 15% es riesgo bajo.</w:t>
                  </w:r>
                </w:p>
                <w:p w:rsidR="00B218EF" w:rsidRPr="00B218EF" w:rsidRDefault="00B218EF" w:rsidP="00B218EF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Si es mayor al 15 % el riesgo es intermedio-alto.</w:t>
                  </w:r>
                </w:p>
              </w:txbxContent>
            </v:textbox>
          </v:shape>
        </w:pict>
      </w:r>
      <w:r w:rsidR="00DB6783">
        <w:rPr>
          <w:noProof/>
          <w:lang w:val="es-AR" w:eastAsia="es-AR"/>
        </w:rPr>
        <w:pict>
          <v:roundrect id="_x0000_s1034" style="position:absolute;margin-left:-54.1pt;margin-top:306.15pt;width:545.05pt;height:92.55pt;z-index:251672576;mso-position-horizontal-relative:text;mso-position-vertical-relative:text" arcsize="10923f" fillcolor="#d5eaff" stroked="f" strokecolor="blue"/>
        </w:pict>
      </w:r>
      <w:r w:rsidR="00DB6783">
        <w:rPr>
          <w:noProof/>
          <w:lang w:val="es-AR" w:eastAsia="es-AR"/>
        </w:rPr>
        <w:pict>
          <v:shape id="_x0000_s1035" type="#_x0000_t202" style="position:absolute;margin-left:-3.4pt;margin-top:313.1pt;width:488.85pt;height:85.6pt;z-index:251673600;mso-position-horizontal-relative:text;mso-position-vertical-relative:text;mso-width-relative:margin;mso-height-relative:margin" filled="f" stroked="f">
            <v:textbox style="mso-next-textbox:#_x0000_s1035">
              <w:txbxContent>
                <w:p w:rsidR="00B218EF" w:rsidRPr="00B218EF" w:rsidRDefault="00891D27" w:rsidP="00B218E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B218EF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B218EF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 </w:t>
                  </w:r>
                  <w:r w:rsidR="00B218EF"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¿Es lo mismo el dolor de pecho agudo que el paciente que consulta por dolores de pecho de más de 3 semanas de evolución (angina crónica)? </w:t>
                  </w:r>
                </w:p>
                <w:p w:rsidR="00B218EF" w:rsidRDefault="00891D27" w:rsidP="00B218EF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B218EF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B218EF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B218EF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</w:t>
                  </w:r>
                  <w:r w:rsidR="00B218EF" w:rsidRPr="00B218EF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Es prácticamente lo mismo: los pacientes, sin antecedentes conocidos ni estudios previos: se estratifican  y si el riesgo es intermedio (probabilidad del 15 al 50% de tener enfermedad coronaria), se pueden realizar dos tipos de estudios: anatómicos (TCMS) o funcionales (Eco estrés/SPECT estrés/PET estrés/RMC estrés).</w:t>
                  </w:r>
                </w:p>
                <w:p w:rsidR="00891D27" w:rsidRPr="00B218EF" w:rsidRDefault="00B218EF" w:rsidP="00B218EF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B218EF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En los pacientes anginosos estables conocidos (con lesiones menores al 50%) lo primero que debemos hacer es intensificar el tratamiento farmacológico y diferir los estudios complementarios; </w:t>
                  </w:r>
                  <w:r w:rsidR="000F515E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una vez </w:t>
                  </w:r>
                  <w:r w:rsidRPr="00B218EF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optimizado, se indica el estudio  por imagen correspondiente a cada paciente.</w:t>
                  </w:r>
                </w:p>
              </w:txbxContent>
            </v:textbox>
          </v:shape>
        </w:pict>
      </w:r>
      <w:r w:rsidR="00DB6783">
        <w:rPr>
          <w:noProof/>
          <w:lang w:val="es-AR" w:eastAsia="es-AR"/>
        </w:rPr>
        <w:pict>
          <v:shape id="_x0000_s1033" type="#_x0000_t202" style="position:absolute;margin-left:-3.4pt;margin-top:183.15pt;width:488.85pt;height:106.65pt;z-index:251671552;mso-position-horizontal-relative:text;mso-position-vertical-relative:text;mso-width-relative:margin;mso-height-relative:margin" filled="f" stroked="f">
            <v:textbox style="mso-next-textbox:#_x0000_s1033">
              <w:txbxContent>
                <w:p w:rsidR="00225038" w:rsidRPr="00225038" w:rsidRDefault="00225038" w:rsidP="0022503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225038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225038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 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¿En qué paciente debo utilizar la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TCMS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 en la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UDT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 una vez estratificado el riesgo?</w:t>
                  </w:r>
                </w:p>
                <w:p w:rsidR="00B218EF" w:rsidRDefault="00225038" w:rsidP="00B218EF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</w:t>
                  </w:r>
                  <w:r w:rsidRPr="00225038">
                    <w:rPr>
                      <w:rStyle w:val="Ninguno"/>
                      <w:rFonts w:ascii="Arial" w:hAnsi="Arial" w:cs="Arial"/>
                      <w:color w:val="000000" w:themeColor="text1"/>
                      <w:sz w:val="14"/>
                      <w:szCs w:val="14"/>
                    </w:rPr>
                    <w:t xml:space="preserve">-  </w:t>
                  </w:r>
                  <w:r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   </w:t>
                  </w:r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En pacientes de riesgo intermedio (</w:t>
                  </w:r>
                  <w:proofErr w:type="spellStart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TUs</w:t>
                  </w:r>
                  <w:proofErr w:type="spellEnd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 de 5 a 14 </w:t>
                  </w:r>
                  <w:proofErr w:type="spellStart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ng</w:t>
                  </w:r>
                  <w:proofErr w:type="spellEnd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/dl), el 30% de ellos tienen enfermedad obstructiva </w:t>
                  </w:r>
                  <w:proofErr w:type="spellStart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coronaria.</w:t>
                  </w:r>
                  <w:proofErr w:type="spellEnd"/>
                </w:p>
                <w:p w:rsidR="00225038" w:rsidRDefault="00225038" w:rsidP="00B218EF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218EF">
                    <w:rPr>
                      <w:rFonts w:ascii="Arial" w:hAnsi="Arial" w:cs="Arial"/>
                      <w:sz w:val="14"/>
                      <w:szCs w:val="14"/>
                    </w:rPr>
                    <w:t>Sin antecedentes de enfermedad coronaria y sin estudios previos (clase IA): Valor predictivo negativo alto. Nos permite diagnosticar enfermedad coronaria no obstructiva.</w:t>
                  </w:r>
                </w:p>
                <w:p w:rsidR="00B218EF" w:rsidRPr="00B218EF" w:rsidRDefault="00B218EF" w:rsidP="00B218EF">
                  <w:pPr>
                    <w:pStyle w:val="Prrafodelista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25038" w:rsidRPr="00225038" w:rsidRDefault="00225038" w:rsidP="00225038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038">
                    <w:rPr>
                      <w:rFonts w:ascii="Arial" w:hAnsi="Arial" w:cs="Arial"/>
                      <w:sz w:val="14"/>
                      <w:szCs w:val="14"/>
                    </w:rPr>
                    <w:t>En pacientes menores de 65 años las chances de que tenga enfermedad aterosclerótica cálcica es menor por lo que nos va a inclinar hacia la TCMS.</w:t>
                  </w:r>
                </w:p>
                <w:p w:rsidR="00225038" w:rsidRPr="00225038" w:rsidRDefault="00225038" w:rsidP="00225038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038">
                    <w:rPr>
                      <w:rFonts w:ascii="Arial" w:hAnsi="Arial" w:cs="Arial"/>
                      <w:sz w:val="14"/>
                      <w:szCs w:val="14"/>
                    </w:rPr>
                    <w:t xml:space="preserve">En pacientes donde los diagnósticos diferenciales a descartar incluyan TEP y Síndrome aórtico agudo. </w:t>
                  </w:r>
                </w:p>
                <w:p w:rsidR="00225038" w:rsidRPr="00225038" w:rsidRDefault="00225038" w:rsidP="00225038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sz w:val="14"/>
                      <w:szCs w:val="14"/>
                    </w:rPr>
                  </w:pPr>
                  <w:r w:rsidRPr="00225038">
                    <w:rPr>
                      <w:rFonts w:ascii="Arial" w:hAnsi="Arial" w:cs="Arial"/>
                      <w:sz w:val="14"/>
                      <w:szCs w:val="14"/>
                    </w:rPr>
                    <w:t>Estudios funcionales inconclusos.</w:t>
                  </w:r>
                </w:p>
              </w:txbxContent>
            </v:textbox>
          </v:shape>
        </w:pict>
      </w:r>
      <w:r w:rsidR="00DB6783">
        <w:rPr>
          <w:noProof/>
          <w:lang w:val="es-AR" w:eastAsia="es-AR"/>
        </w:rPr>
        <w:pict>
          <v:roundrect id="_x0000_s1032" style="position:absolute;margin-left:-54.1pt;margin-top:176.2pt;width:545.05pt;height:113.6pt;z-index:251670528;mso-position-horizontal-relative:text;mso-position-vertical-relative:text" arcsize="10923f" fillcolor="#d5eaff" stroked="f" strokecolor="blue"/>
        </w:pict>
      </w:r>
      <w:r w:rsidR="00DB6783">
        <w:rPr>
          <w:noProof/>
          <w:lang w:val="es-AR" w:eastAsia="es-AR"/>
        </w:rPr>
        <w:pict>
          <v:roundrect id="_x0000_s1030" style="position:absolute;margin-left:-54.1pt;margin-top:100.7pt;width:545.05pt;height:59.5pt;z-index:251668480;mso-position-horizontal-relative:text;mso-position-vertical-relative:text" arcsize="10923f" fillcolor="#d5eaff" stroked="f" strokecolor="blue"/>
        </w:pict>
      </w:r>
      <w:r w:rsidR="00DB6783">
        <w:rPr>
          <w:noProof/>
          <w:lang w:val="es-AR" w:eastAsia="es-AR"/>
        </w:rPr>
        <w:pict>
          <v:shape id="_x0000_s1031" type="#_x0000_t202" style="position:absolute;margin-left:-3.4pt;margin-top:107.65pt;width:488.85pt;height:48.15pt;z-index:251669504;mso-position-horizontal-relative:text;mso-position-vertical-relative:text;mso-width-relative:margin;mso-height-relative:margin" filled="f" stroked="f">
            <v:textbox style="mso-next-textbox:#_x0000_s1031">
              <w:txbxContent>
                <w:p w:rsidR="00225038" w:rsidRPr="00225038" w:rsidRDefault="00225038" w:rsidP="0022503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225038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225038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 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¿Qué aporta la tomografía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(TCMS) 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por encima de la </w:t>
                  </w:r>
                  <w:proofErr w:type="spellStart"/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Troponina</w:t>
                  </w:r>
                  <w:proofErr w:type="spellEnd"/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 ultrasensible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TUs</w:t>
                  </w:r>
                  <w:proofErr w:type="spellEnd"/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) 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a la estratificación de riesgo?</w:t>
                  </w:r>
                </w:p>
                <w:p w:rsidR="00225038" w:rsidRPr="00225038" w:rsidRDefault="00225038" w:rsidP="00225038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 </w:t>
                  </w:r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En los pacientes que se le realizó TCMS agregada a la </w:t>
                  </w:r>
                  <w:proofErr w:type="spellStart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T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Us</w:t>
                  </w:r>
                  <w:proofErr w:type="spellEnd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 se demostró que no fue necesario continuar con estudios posteriores, con menores costos y sin diferencia en los eventos (MACE) posteriores.</w:t>
                  </w:r>
                </w:p>
                <w:p w:rsidR="00225038" w:rsidRPr="00225038" w:rsidRDefault="00225038" w:rsidP="00225038">
                  <w:pPr>
                    <w:rPr>
                      <w:sz w:val="14"/>
                      <w:szCs w:val="14"/>
                      <w:lang w:val="es-AR"/>
                    </w:rPr>
                  </w:pPr>
                </w:p>
              </w:txbxContent>
            </v:textbox>
          </v:shape>
        </w:pict>
      </w:r>
      <w:r w:rsidR="00DB6783">
        <w:rPr>
          <w:noProof/>
          <w:lang w:val="es-AR" w:eastAsia="es-AR"/>
        </w:rPr>
        <w:pict>
          <v:roundrect id="_x0000_s1028" style="position:absolute;margin-left:-54.1pt;margin-top:21.85pt;width:545.05pt;height:59.5pt;z-index:251666432;mso-position-horizontal-relative:text;mso-position-vertical-relative:text" arcsize="10923f" fillcolor="#d5eaff" stroked="f" strokecolor="blue"/>
        </w:pict>
      </w:r>
      <w:r w:rsidR="00DB6783">
        <w:rPr>
          <w:noProof/>
          <w:lang w:val="es-AR" w:eastAsia="es-AR"/>
        </w:rPr>
        <w:pict>
          <v:shape id="_x0000_s1029" type="#_x0000_t202" style="position:absolute;margin-left:-3.4pt;margin-top:28.8pt;width:488.85pt;height:48.15pt;z-index:251667456;mso-position-horizontal-relative:text;mso-position-vertical-relative:text;mso-width-relative:margin;mso-height-relative:margin" filled="f" stroked="f">
            <v:textbox style="mso-next-textbox:#_x0000_s1029">
              <w:txbxContent>
                <w:p w:rsidR="00225038" w:rsidRPr="00225038" w:rsidRDefault="00225038" w:rsidP="0022503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225038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225038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 </w:t>
                  </w:r>
                  <w:r w:rsidRPr="00225038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¿Qué métodos de estratificación de riesgo conoce en la unidad de dolor torácico agudo?</w:t>
                  </w:r>
                </w:p>
                <w:p w:rsidR="00225038" w:rsidRPr="00225038" w:rsidRDefault="00225038" w:rsidP="00225038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225038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 </w:t>
                  </w:r>
                  <w:r w:rsidRPr="00225038"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  <w:lang w:val="es-AR"/>
                    </w:rPr>
                    <w:t xml:space="preserve"> </w:t>
                  </w:r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Los métodos de estratificación utilizados habitualmente son el HEART Score, TIMI Score y el GRACE Score, basados en la realización de anamnesis, examen físico, ECG y </w:t>
                  </w:r>
                  <w:proofErr w:type="spellStart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dosaje</w:t>
                  </w:r>
                  <w:proofErr w:type="spellEnd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 de </w:t>
                  </w:r>
                  <w:proofErr w:type="spellStart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Troponina</w:t>
                  </w:r>
                  <w:proofErr w:type="spellEnd"/>
                  <w:r w:rsidRPr="00225038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.</w:t>
                  </w:r>
                </w:p>
                <w:p w:rsidR="00225038" w:rsidRPr="00225038" w:rsidRDefault="00225038" w:rsidP="00225038">
                  <w:pPr>
                    <w:rPr>
                      <w:sz w:val="14"/>
                      <w:szCs w:val="14"/>
                      <w:lang w:val="es-AR"/>
                    </w:rPr>
                  </w:pPr>
                </w:p>
              </w:txbxContent>
            </v:textbox>
          </v:shape>
        </w:pict>
      </w:r>
      <w:r w:rsidR="00B218EF">
        <w:br w:type="page"/>
      </w:r>
    </w:p>
    <w:p w:rsidR="00193B34" w:rsidRDefault="000F515E" w:rsidP="00225038">
      <w:pPr>
        <w:jc w:val="both"/>
      </w:pPr>
      <w:r>
        <w:rPr>
          <w:noProof/>
          <w:lang w:val="es-AR" w:eastAsia="es-AR"/>
        </w:rPr>
        <w:lastRenderedPageBreak/>
        <w:pict>
          <v:shape id="_x0000_s1039" type="#_x0000_t202" style="position:absolute;left:0;text-align:left;margin-left:-7.6pt;margin-top:34.9pt;width:488.85pt;height:191pt;z-index:251677696;mso-width-relative:margin;mso-height-relative:margin" filled="f" stroked="f">
            <v:textbox style="mso-next-textbox:#_x0000_s1039">
              <w:txbxContent>
                <w:p w:rsidR="00B218EF" w:rsidRPr="00B218EF" w:rsidRDefault="00B218EF" w:rsidP="00B218EF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</w:pPr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@</w:t>
                  </w:r>
                  <w:proofErr w:type="spellStart"/>
                  <w:r w:rsidRPr="00B218EF">
                    <w:rPr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  <w:lang w:val="es-ES_tradnl"/>
                    </w:rPr>
                    <w:t>cardiorosario</w:t>
                  </w:r>
                  <w:proofErr w:type="spellEnd"/>
                  <w:r w:rsidRPr="00B218EF">
                    <w:rPr>
                      <w:rFonts w:ascii="Arial" w:hAnsi="Arial" w:cs="Arial"/>
                      <w:b/>
                      <w:color w:val="5E5E5E"/>
                      <w:sz w:val="14"/>
                      <w:szCs w:val="14"/>
                      <w:lang w:val="es-ES_tradnl"/>
                    </w:rPr>
                    <w:t xml:space="preserve">   </w:t>
                  </w:r>
                  <w:proofErr w:type="gramStart"/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¿</w:t>
                  </w:r>
                  <w:proofErr w:type="gramEnd"/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 xml:space="preserve">Qué opina sobre Estrategia anatómica vs. </w:t>
                  </w:r>
                  <w:proofErr w:type="gramStart"/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funcional</w:t>
                  </w:r>
                  <w:proofErr w:type="gramEnd"/>
                  <w:r w:rsidRPr="00B218EF">
                    <w:rPr>
                      <w:rFonts w:ascii="Arial" w:hAnsi="Arial" w:cs="Arial"/>
                      <w:b/>
                      <w:sz w:val="14"/>
                      <w:szCs w:val="14"/>
                      <w:lang w:val="es-AR"/>
                    </w:rPr>
                    <w:t>?</w:t>
                  </w:r>
                </w:p>
                <w:p w:rsidR="00B218EF" w:rsidRPr="00DB6783" w:rsidRDefault="00B218EF" w:rsidP="00DB6783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  <w:r w:rsidRPr="00DB6783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@</w:t>
                  </w:r>
                  <w:proofErr w:type="spellStart"/>
                  <w:r w:rsidRPr="00DB6783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>juanbonelli</w:t>
                  </w:r>
                  <w:proofErr w:type="spellEnd"/>
                  <w:r w:rsidRPr="00DB6783">
                    <w:rPr>
                      <w:rStyle w:val="Ninguno"/>
                      <w:rFonts w:ascii="Arial" w:hAnsi="Arial" w:cs="Arial"/>
                      <w:b/>
                      <w:i/>
                      <w:color w:val="000000" w:themeColor="text1"/>
                      <w:sz w:val="14"/>
                      <w:szCs w:val="14"/>
                    </w:rPr>
                    <w:t xml:space="preserve">   </w:t>
                  </w:r>
                  <w:r w:rsidRPr="00DB6783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>Se debe seleccionar el</w:t>
                  </w:r>
                  <w:r w:rsidR="000F515E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 mejor test de imagen para </w:t>
                  </w:r>
                  <w:r w:rsidRPr="00DB6783"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  <w:t xml:space="preserve">el paciente correcto (conociendo las contraindicaciones para cada uno de ellos), con el objetivo de diagnosticar de los verdaderos cuadros coronarios. </w:t>
                  </w:r>
                </w:p>
                <w:p w:rsidR="00B218EF" w:rsidRPr="0023764A" w:rsidRDefault="00B218EF" w:rsidP="00B218EF">
                  <w:pPr>
                    <w:pStyle w:val="Prrafodelista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Ante la alta sospecha de enfermedad coronaria obstructiva seleccionaremos métodos con un alto valor predictivo positivo (SPECT - PET - RMC estrés).</w:t>
                  </w:r>
                </w:p>
                <w:p w:rsidR="00B218EF" w:rsidRPr="0023764A" w:rsidRDefault="00B218EF" w:rsidP="00B218EF">
                  <w:pPr>
                    <w:pStyle w:val="Prrafodelista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Ante la baja sospecha seleccionaremos métodos con un alto valor predictivo negativo (TCMS).</w:t>
                  </w:r>
                </w:p>
                <w:p w:rsidR="00B218EF" w:rsidRPr="0023764A" w:rsidRDefault="00B218EF" w:rsidP="00B218EF">
                  <w:pPr>
                    <w:pStyle w:val="Prrafodelista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b/>
                      <w:sz w:val="14"/>
                      <w:szCs w:val="14"/>
                    </w:rPr>
                    <w:t>A favor de un estudio funcional:</w:t>
                  </w: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 xml:space="preserve"> Localiza la isquemia, cuantifica isquemia, valora motilidad en reposo y post-estrés, cuantifica función ventricular, valora causas no cardíacas de dolor torácico, valora las válvulas.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Guiar el tratamiento en base al monto isquémico.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Mayor de 65 años.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TCMS no concluyente.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Período de garantía: 1 año.</w:t>
                  </w:r>
                </w:p>
                <w:p w:rsidR="00B218EF" w:rsidRPr="0023764A" w:rsidRDefault="00B218EF" w:rsidP="00B218EF">
                  <w:pPr>
                    <w:pStyle w:val="Prrafodelista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b/>
                      <w:sz w:val="14"/>
                      <w:szCs w:val="14"/>
                    </w:rPr>
                    <w:t>A favor de un estudio anatómico:</w:t>
                  </w: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 xml:space="preserve"> Valora morfología de la placa y estima el grado de obstrucción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Descartar enfermedad coronaria/Detectar enfermedad coronaria no obstructiva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Menor de 65 años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Sospecha de TEP y Síndrome aórtico agudo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Test funcionales no concluyentes</w:t>
                  </w:r>
                </w:p>
                <w:p w:rsidR="00B218EF" w:rsidRPr="0023764A" w:rsidRDefault="00B218EF" w:rsidP="00B218EF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3764A">
                    <w:rPr>
                      <w:rFonts w:ascii="Arial" w:hAnsi="Arial" w:cs="Arial"/>
                      <w:sz w:val="14"/>
                      <w:szCs w:val="14"/>
                    </w:rPr>
                    <w:t>Período de garantía: 2 años.</w:t>
                  </w:r>
                </w:p>
                <w:p w:rsidR="00B218EF" w:rsidRPr="0023764A" w:rsidRDefault="00B218EF" w:rsidP="00B218EF">
                  <w:pPr>
                    <w:pStyle w:val="Prrafodelista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B218EF" w:rsidRPr="00B218EF" w:rsidRDefault="00B218EF" w:rsidP="00B218EF">
                  <w:pPr>
                    <w:rPr>
                      <w:rFonts w:ascii="Arial" w:hAnsi="Arial" w:cs="Arial"/>
                      <w:sz w:val="14"/>
                      <w:szCs w:val="14"/>
                      <w:lang w:val="es-AR"/>
                    </w:rPr>
                  </w:pPr>
                </w:p>
              </w:txbxContent>
            </v:textbox>
          </v:shape>
        </w:pict>
      </w:r>
      <w:r w:rsidR="009A3F0E">
        <w:rPr>
          <w:noProof/>
          <w:lang w:val="es-AR" w:eastAsia="es-A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-514820</wp:posOffset>
            </wp:positionH>
            <wp:positionV relativeFrom="paragraph">
              <wp:posOffset>727125</wp:posOffset>
            </wp:positionV>
            <wp:extent cx="289708" cy="285008"/>
            <wp:effectExtent l="19050" t="0" r="0" b="0"/>
            <wp:wrapNone/>
            <wp:docPr id="9" name="8 Imagen" descr="j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8" cy="285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>
        <w:rPr>
          <w:noProof/>
          <w:lang w:val="es-AR" w:eastAsia="es-A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-514820</wp:posOffset>
            </wp:positionH>
            <wp:positionV relativeFrom="paragraph">
              <wp:posOffset>442117</wp:posOffset>
            </wp:positionV>
            <wp:extent cx="289709" cy="237506"/>
            <wp:effectExtent l="19050" t="0" r="0" b="0"/>
            <wp:wrapNone/>
            <wp:docPr id="8" name="2 Imagen" descr="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9" cy="237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783">
        <w:rPr>
          <w:noProof/>
          <w:lang w:val="es-AR" w:eastAsia="es-AR"/>
        </w:rPr>
        <w:pict>
          <v:roundrect id="_x0000_s1038" style="position:absolute;left:0;text-align:left;margin-left:-58.3pt;margin-top:27.95pt;width:545.05pt;height:203.25pt;z-index:251676672;mso-position-horizontal-relative:text;mso-position-vertical-relative:text" arcsize="10923f" fillcolor="#d5eaff" stroked="f" strokecolor="blue"/>
        </w:pict>
      </w:r>
      <w:r w:rsidR="00225038" w:rsidRPr="00225038"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-381</wp:posOffset>
            </wp:positionH>
            <wp:positionV relativeFrom="page">
              <wp:posOffset>380390</wp:posOffset>
            </wp:positionV>
            <wp:extent cx="2555900" cy="460858"/>
            <wp:effectExtent l="19050" t="0" r="0" b="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9-03-27 a la(s) 13.12.03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rcRect l="16057" t="18503" r="50000" b="72320"/>
                    <a:stretch>
                      <a:fillRect/>
                    </a:stretch>
                  </pic:blipFill>
                  <pic:spPr>
                    <a:xfrm>
                      <a:off x="0" y="0"/>
                      <a:ext cx="2553553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93B34" w:rsidSect="00193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BDF"/>
    <w:multiLevelType w:val="hybridMultilevel"/>
    <w:tmpl w:val="44A4D75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120D6"/>
    <w:multiLevelType w:val="hybridMultilevel"/>
    <w:tmpl w:val="30300A0A"/>
    <w:lvl w:ilvl="0" w:tplc="84226A96">
      <w:numFmt w:val="bullet"/>
      <w:lvlText w:val="-"/>
      <w:lvlJc w:val="left"/>
      <w:pPr>
        <w:ind w:left="205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80E0F"/>
    <w:multiLevelType w:val="hybridMultilevel"/>
    <w:tmpl w:val="F0C693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A5475"/>
    <w:multiLevelType w:val="hybridMultilevel"/>
    <w:tmpl w:val="19D2CBEE"/>
    <w:lvl w:ilvl="0" w:tplc="C1A2D5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25C"/>
    <w:multiLevelType w:val="hybridMultilevel"/>
    <w:tmpl w:val="65CE152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982A6E"/>
    <w:multiLevelType w:val="hybridMultilevel"/>
    <w:tmpl w:val="72ACA870"/>
    <w:lvl w:ilvl="0" w:tplc="84226A96">
      <w:numFmt w:val="bullet"/>
      <w:lvlText w:val="-"/>
      <w:lvlJc w:val="left"/>
      <w:pPr>
        <w:ind w:left="133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5038"/>
    <w:rsid w:val="00006633"/>
    <w:rsid w:val="000C6F1E"/>
    <w:rsid w:val="000D0E6A"/>
    <w:rsid w:val="000E3611"/>
    <w:rsid w:val="000F0A98"/>
    <w:rsid w:val="000F515E"/>
    <w:rsid w:val="00105E88"/>
    <w:rsid w:val="001439E9"/>
    <w:rsid w:val="00193B34"/>
    <w:rsid w:val="00225038"/>
    <w:rsid w:val="0025626A"/>
    <w:rsid w:val="00265FA6"/>
    <w:rsid w:val="002B6B88"/>
    <w:rsid w:val="00320BBF"/>
    <w:rsid w:val="00337F62"/>
    <w:rsid w:val="003754C5"/>
    <w:rsid w:val="00395090"/>
    <w:rsid w:val="003D0148"/>
    <w:rsid w:val="003D76E3"/>
    <w:rsid w:val="00457AF2"/>
    <w:rsid w:val="004643CB"/>
    <w:rsid w:val="004D3F67"/>
    <w:rsid w:val="00530B25"/>
    <w:rsid w:val="005413D9"/>
    <w:rsid w:val="00547913"/>
    <w:rsid w:val="005D1CDB"/>
    <w:rsid w:val="005F399A"/>
    <w:rsid w:val="00601953"/>
    <w:rsid w:val="006032B8"/>
    <w:rsid w:val="006077BF"/>
    <w:rsid w:val="006516B3"/>
    <w:rsid w:val="00661837"/>
    <w:rsid w:val="00666D82"/>
    <w:rsid w:val="007106FF"/>
    <w:rsid w:val="00732CB2"/>
    <w:rsid w:val="00774E1C"/>
    <w:rsid w:val="007D6F53"/>
    <w:rsid w:val="00833EB0"/>
    <w:rsid w:val="00860AF1"/>
    <w:rsid w:val="00880CB8"/>
    <w:rsid w:val="00891D27"/>
    <w:rsid w:val="008A730C"/>
    <w:rsid w:val="009423FD"/>
    <w:rsid w:val="009A1A11"/>
    <w:rsid w:val="009A3F0E"/>
    <w:rsid w:val="009D50EB"/>
    <w:rsid w:val="009F514A"/>
    <w:rsid w:val="00A24523"/>
    <w:rsid w:val="00B218EF"/>
    <w:rsid w:val="00B22F47"/>
    <w:rsid w:val="00B31A74"/>
    <w:rsid w:val="00B72BB7"/>
    <w:rsid w:val="00BA29A9"/>
    <w:rsid w:val="00BB42C1"/>
    <w:rsid w:val="00BF3849"/>
    <w:rsid w:val="00C07478"/>
    <w:rsid w:val="00C1117E"/>
    <w:rsid w:val="00C36E0A"/>
    <w:rsid w:val="00C613FD"/>
    <w:rsid w:val="00CA29BB"/>
    <w:rsid w:val="00CA4BCA"/>
    <w:rsid w:val="00D87759"/>
    <w:rsid w:val="00D94C04"/>
    <w:rsid w:val="00DB341F"/>
    <w:rsid w:val="00DB6783"/>
    <w:rsid w:val="00DF431E"/>
    <w:rsid w:val="00E40BC9"/>
    <w:rsid w:val="00E77D3C"/>
    <w:rsid w:val="00EC616B"/>
    <w:rsid w:val="00EC7F0A"/>
    <w:rsid w:val="00ED0356"/>
    <w:rsid w:val="00F864A0"/>
    <w:rsid w:val="00FF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38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2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AR"/>
    </w:rPr>
  </w:style>
  <w:style w:type="character" w:customStyle="1" w:styleId="Ninguno">
    <w:name w:val="Ninguno"/>
    <w:rsid w:val="00225038"/>
    <w:rPr>
      <w:lang w:val="es-ES_tradnl"/>
    </w:rPr>
  </w:style>
  <w:style w:type="paragraph" w:styleId="Prrafodelista">
    <w:name w:val="List Paragraph"/>
    <w:basedOn w:val="Normal"/>
    <w:uiPriority w:val="34"/>
    <w:qFormat/>
    <w:rsid w:val="00225038"/>
    <w:pPr>
      <w:spacing w:after="200" w:line="276" w:lineRule="auto"/>
      <w:ind w:left="720"/>
      <w:contextualSpacing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F0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CBE9-62CD-4177-A25C-406D019D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florencia</cp:lastModifiedBy>
  <cp:revision>5</cp:revision>
  <dcterms:created xsi:type="dcterms:W3CDTF">2022-08-22T22:31:00Z</dcterms:created>
  <dcterms:modified xsi:type="dcterms:W3CDTF">2022-08-23T04:04:00Z</dcterms:modified>
</cp:coreProperties>
</file>