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3FF" w:rsidRDefault="002743FF" w:rsidP="00602067">
      <w:pPr>
        <w:jc w:val="both"/>
        <w:rPr>
          <w:rFonts w:ascii="Times New Roman" w:hAnsi="Times New Roman"/>
          <w:b/>
          <w:sz w:val="32"/>
          <w:szCs w:val="24"/>
        </w:rPr>
      </w:pPr>
      <w:r>
        <w:rPr>
          <w:rFonts w:ascii="Times New Roman" w:hAnsi="Times New Roman"/>
          <w:b/>
          <w:sz w:val="32"/>
          <w:szCs w:val="24"/>
        </w:rPr>
        <w:t>EVALUACIÓN DEL TAMAÑO DEL INFARTO INFERIOR SEGÚN LA ARTERIA RESPONSABLE.</w:t>
      </w:r>
    </w:p>
    <w:p w:rsidR="002743FF" w:rsidRDefault="002743FF" w:rsidP="00602067">
      <w:pPr>
        <w:jc w:val="both"/>
        <w:rPr>
          <w:rFonts w:ascii="Times New Roman" w:hAnsi="Times New Roman"/>
          <w:i/>
          <w:sz w:val="24"/>
          <w:szCs w:val="24"/>
        </w:rPr>
      </w:pPr>
      <w:r>
        <w:rPr>
          <w:rFonts w:ascii="Times New Roman" w:hAnsi="Times New Roman"/>
          <w:i/>
          <w:sz w:val="24"/>
          <w:szCs w:val="24"/>
        </w:rPr>
        <w:t>Leonardo Pilón, Franco Marino, Belén Vila Ortiz, Leandro Lasave, Fernando Bagnera, Gerardo Zapata.</w:t>
      </w:r>
    </w:p>
    <w:p w:rsidR="002743FF" w:rsidRPr="005D17A3" w:rsidRDefault="002743FF" w:rsidP="00602067">
      <w:pPr>
        <w:jc w:val="both"/>
        <w:rPr>
          <w:rFonts w:ascii="Times New Roman" w:hAnsi="Times New Roman"/>
          <w:i/>
          <w:sz w:val="24"/>
          <w:szCs w:val="24"/>
        </w:rPr>
      </w:pPr>
      <w:r>
        <w:rPr>
          <w:rFonts w:ascii="Times New Roman" w:hAnsi="Times New Roman"/>
          <w:i/>
          <w:sz w:val="24"/>
          <w:szCs w:val="24"/>
        </w:rPr>
        <w:t>Unidad Coronaria - Instituto Cardiovascular de Rosario.</w:t>
      </w:r>
    </w:p>
    <w:p w:rsidR="002743FF" w:rsidRPr="004100FE" w:rsidRDefault="002743FF" w:rsidP="00602067">
      <w:pPr>
        <w:jc w:val="both"/>
        <w:rPr>
          <w:rFonts w:ascii="Times New Roman" w:hAnsi="Times New Roman"/>
          <w:sz w:val="24"/>
          <w:szCs w:val="24"/>
        </w:rPr>
      </w:pPr>
      <w:r>
        <w:rPr>
          <w:rFonts w:ascii="Times New Roman" w:hAnsi="Times New Roman"/>
          <w:b/>
          <w:sz w:val="24"/>
          <w:szCs w:val="24"/>
        </w:rPr>
        <w:t>Introducción</w:t>
      </w:r>
      <w:r w:rsidRPr="004100FE">
        <w:rPr>
          <w:rFonts w:ascii="Times New Roman" w:hAnsi="Times New Roman"/>
          <w:b/>
          <w:sz w:val="24"/>
          <w:szCs w:val="24"/>
        </w:rPr>
        <w:t xml:space="preserve">: </w:t>
      </w:r>
      <w:r w:rsidRPr="004100FE">
        <w:rPr>
          <w:rFonts w:ascii="Times New Roman" w:hAnsi="Times New Roman"/>
          <w:sz w:val="24"/>
          <w:szCs w:val="24"/>
        </w:rPr>
        <w:t xml:space="preserve">El infarto agudo de miocardio inferior (IAMi) en su gran mayoría ocurre por oclusión aguda de la arteria coronaria derecha (CD), aunque en un número no menor de los casos la arteria responsable del infarto (ARI) puede ser la circunfleja (Cx). Si en estas situaciones la dominancia es izquierda, el </w:t>
      </w:r>
      <w:r>
        <w:rPr>
          <w:rFonts w:ascii="Times New Roman" w:hAnsi="Times New Roman"/>
          <w:sz w:val="24"/>
          <w:szCs w:val="24"/>
        </w:rPr>
        <w:t>ventrículo izquierdo</w:t>
      </w:r>
      <w:r w:rsidRPr="004100FE">
        <w:rPr>
          <w:rFonts w:ascii="Times New Roman" w:hAnsi="Times New Roman"/>
          <w:sz w:val="24"/>
          <w:szCs w:val="24"/>
        </w:rPr>
        <w:t xml:space="preserve"> se abastece completamente del árbol coronario izquierdo, mientras que la CD no dominante sólo suministra sangre al ventrículo y a la aurícula derecha. </w:t>
      </w:r>
      <w:r>
        <w:rPr>
          <w:rFonts w:ascii="Times New Roman" w:hAnsi="Times New Roman"/>
          <w:sz w:val="24"/>
          <w:szCs w:val="24"/>
        </w:rPr>
        <w:t>Un IAMi con Cx dominante</w:t>
      </w:r>
      <w:r w:rsidRPr="004100FE">
        <w:rPr>
          <w:rFonts w:ascii="Times New Roman" w:hAnsi="Times New Roman"/>
          <w:sz w:val="24"/>
          <w:szCs w:val="24"/>
        </w:rPr>
        <w:t xml:space="preserve"> podría suponer una ma</w:t>
      </w:r>
      <w:r>
        <w:rPr>
          <w:rFonts w:ascii="Times New Roman" w:hAnsi="Times New Roman"/>
          <w:sz w:val="24"/>
          <w:szCs w:val="24"/>
        </w:rPr>
        <w:t>yor área de miocardio en riesgo</w:t>
      </w:r>
      <w:r w:rsidRPr="004100FE">
        <w:rPr>
          <w:rFonts w:ascii="Times New Roman" w:hAnsi="Times New Roman"/>
          <w:sz w:val="24"/>
          <w:szCs w:val="24"/>
        </w:rPr>
        <w:t xml:space="preserve"> con un eventual mayor tamaño del infarto (TI) y un peor pronóstico</w:t>
      </w:r>
      <w:r>
        <w:rPr>
          <w:rFonts w:ascii="Times New Roman" w:hAnsi="Times New Roman"/>
          <w:sz w:val="24"/>
          <w:szCs w:val="24"/>
        </w:rPr>
        <w:t xml:space="preserve"> intrahospitalario</w:t>
      </w:r>
      <w:r w:rsidRPr="004100FE">
        <w:rPr>
          <w:rFonts w:ascii="Times New Roman" w:hAnsi="Times New Roman"/>
          <w:sz w:val="24"/>
          <w:szCs w:val="24"/>
        </w:rPr>
        <w:t>.</w:t>
      </w:r>
    </w:p>
    <w:p w:rsidR="002743FF" w:rsidRPr="000A7A84" w:rsidRDefault="002743FF" w:rsidP="00602067">
      <w:pPr>
        <w:jc w:val="both"/>
        <w:rPr>
          <w:rFonts w:ascii="Times New Roman" w:hAnsi="Times New Roman"/>
          <w:sz w:val="24"/>
          <w:szCs w:val="24"/>
        </w:rPr>
      </w:pPr>
      <w:r w:rsidRPr="000A7A84">
        <w:rPr>
          <w:rFonts w:ascii="Times New Roman" w:hAnsi="Times New Roman"/>
          <w:b/>
          <w:sz w:val="24"/>
          <w:szCs w:val="24"/>
        </w:rPr>
        <w:t xml:space="preserve">Objetivo: </w:t>
      </w:r>
      <w:r w:rsidRPr="000A7A84">
        <w:rPr>
          <w:rFonts w:ascii="Times New Roman" w:hAnsi="Times New Roman"/>
          <w:sz w:val="24"/>
          <w:szCs w:val="24"/>
        </w:rPr>
        <w:t>Evaluar el TI y los eventos intrahospitalarios en pacientes con IAMi según la ARI.</w:t>
      </w:r>
    </w:p>
    <w:p w:rsidR="002743FF" w:rsidRDefault="002743FF" w:rsidP="00602067">
      <w:pPr>
        <w:jc w:val="both"/>
        <w:rPr>
          <w:rFonts w:ascii="Times New Roman" w:hAnsi="Times New Roman"/>
          <w:sz w:val="24"/>
          <w:szCs w:val="24"/>
        </w:rPr>
      </w:pPr>
      <w:r>
        <w:rPr>
          <w:rFonts w:ascii="Times New Roman" w:hAnsi="Times New Roman"/>
          <w:b/>
          <w:sz w:val="24"/>
          <w:szCs w:val="24"/>
        </w:rPr>
        <w:t xml:space="preserve">Material y método: </w:t>
      </w:r>
      <w:r>
        <w:rPr>
          <w:rFonts w:ascii="Times New Roman" w:hAnsi="Times New Roman"/>
          <w:sz w:val="24"/>
          <w:szCs w:val="24"/>
        </w:rPr>
        <w:t>El estudio evaluó una base de datos que incluyó en forma retr</w:t>
      </w:r>
      <w:bookmarkStart w:id="0" w:name="_GoBack"/>
      <w:bookmarkEnd w:id="0"/>
      <w:r>
        <w:rPr>
          <w:rFonts w:ascii="Times New Roman" w:hAnsi="Times New Roman"/>
          <w:sz w:val="24"/>
          <w:szCs w:val="24"/>
        </w:rPr>
        <w:t xml:space="preserve">ospectiva y consecutiva a todos los pacientes </w:t>
      </w:r>
      <w:r w:rsidRPr="009771EC">
        <w:rPr>
          <w:rFonts w:ascii="Times New Roman" w:hAnsi="Times New Roman"/>
          <w:sz w:val="24"/>
          <w:szCs w:val="24"/>
        </w:rPr>
        <w:t>con infarto agudo de miocardio con elevación del segme</w:t>
      </w:r>
      <w:r>
        <w:rPr>
          <w:rFonts w:ascii="Times New Roman" w:hAnsi="Times New Roman"/>
          <w:sz w:val="24"/>
          <w:szCs w:val="24"/>
        </w:rPr>
        <w:t>n</w:t>
      </w:r>
      <w:r w:rsidRPr="009771EC">
        <w:rPr>
          <w:rFonts w:ascii="Times New Roman" w:hAnsi="Times New Roman"/>
          <w:sz w:val="24"/>
          <w:szCs w:val="24"/>
        </w:rPr>
        <w:t xml:space="preserve">to ST desde el 1/2014 al 01/2019. Se seleccionó aquellos con IAMi con angioplastia primaria en los que se </w:t>
      </w:r>
      <w:r>
        <w:rPr>
          <w:rFonts w:ascii="Times New Roman" w:hAnsi="Times New Roman"/>
          <w:sz w:val="24"/>
          <w:szCs w:val="24"/>
        </w:rPr>
        <w:t xml:space="preserve">evaluó el TI con SPECT cardíaca, excluyéndose los que tenían infarto previo, los no reperfundidos y en los que no fue posible la realización de SPECT. Se analizó su característica basal, se los dividió en 2 grupos según la ARI (CD o Cx) y se </w:t>
      </w:r>
      <w:r w:rsidRPr="00182E32">
        <w:rPr>
          <w:rFonts w:ascii="Times New Roman" w:hAnsi="Times New Roman"/>
          <w:sz w:val="24"/>
          <w:szCs w:val="24"/>
        </w:rPr>
        <w:t>comparó</w:t>
      </w:r>
      <w:r>
        <w:rPr>
          <w:rFonts w:ascii="Times New Roman" w:hAnsi="Times New Roman"/>
          <w:sz w:val="24"/>
          <w:szCs w:val="24"/>
        </w:rPr>
        <w:t xml:space="preserve"> el TI en cada uno de ellos. </w:t>
      </w:r>
      <w:r>
        <w:rPr>
          <w:rFonts w:ascii="Times New Roman" w:hAnsi="Times New Roman"/>
          <w:bCs/>
          <w:color w:val="212121"/>
          <w:sz w:val="24"/>
          <w:szCs w:val="24"/>
          <w:shd w:val="clear" w:color="auto" w:fill="FFFFFF"/>
        </w:rPr>
        <w:t xml:space="preserve">Las variables cuantitativas se expresan como mediana y percentilos; las categóricas como n y porcentaje. Las comparaciones se realizan con los métodos t-Student y Chi Cuadrado o Fisher según corresponda. </w:t>
      </w:r>
    </w:p>
    <w:p w:rsidR="002743FF" w:rsidRDefault="002743FF" w:rsidP="00602067">
      <w:pPr>
        <w:jc w:val="both"/>
        <w:rPr>
          <w:rFonts w:ascii="Times New Roman" w:hAnsi="Times New Roman"/>
          <w:sz w:val="24"/>
          <w:szCs w:val="24"/>
        </w:rPr>
      </w:pPr>
      <w:r>
        <w:rPr>
          <w:rFonts w:ascii="Times New Roman" w:hAnsi="Times New Roman"/>
          <w:b/>
          <w:sz w:val="24"/>
          <w:szCs w:val="24"/>
        </w:rPr>
        <w:t xml:space="preserve">Resultado: </w:t>
      </w:r>
      <w:r>
        <w:rPr>
          <w:rFonts w:ascii="Times New Roman" w:hAnsi="Times New Roman"/>
          <w:sz w:val="24"/>
          <w:szCs w:val="24"/>
        </w:rPr>
        <w:t>396 pacientes con diagnóstico de IAMCEST, de los cuales 124 (31%) eran IAMi. En un 47% (n=58) el infarto también comprometió la cara lateral, en el 60% (n=74) la pared posterior y en el 24% (n=30) el ventrículo derecho. El 81,5% (n=101) fueron hombres, 53% hipertensos (n=66), 14,5% diabéticos (n=18) y 32% dislipémicos (n=40). El 9% (n=11) tenía antecedente de angioplastia coronaria previa. La arteria CD fue dominante en un 85,5% (n=106), mientras que en el 14,5% (n=18) la dominancia fue izquierda. La ARI fue la CD en el 72,6% de los casos (n=90); en el 27,4% (n=34) fue la Cx. En el grupo CD la mediana del TI fue de 7,5% (P</w:t>
      </w:r>
      <w:r w:rsidRPr="000618DA">
        <w:rPr>
          <w:rFonts w:ascii="Times New Roman" w:hAnsi="Times New Roman"/>
          <w:sz w:val="24"/>
          <w:szCs w:val="24"/>
          <w:vertAlign w:val="subscript"/>
        </w:rPr>
        <w:t>25</w:t>
      </w:r>
      <w:r>
        <w:rPr>
          <w:rFonts w:ascii="Times New Roman" w:hAnsi="Times New Roman"/>
          <w:sz w:val="24"/>
          <w:szCs w:val="24"/>
        </w:rPr>
        <w:t>: 2–P</w:t>
      </w:r>
      <w:r w:rsidRPr="000618DA">
        <w:rPr>
          <w:rFonts w:ascii="Times New Roman" w:hAnsi="Times New Roman"/>
          <w:sz w:val="24"/>
          <w:szCs w:val="24"/>
          <w:vertAlign w:val="subscript"/>
        </w:rPr>
        <w:t>75</w:t>
      </w:r>
      <w:r>
        <w:rPr>
          <w:rFonts w:ascii="Times New Roman" w:hAnsi="Times New Roman"/>
          <w:sz w:val="24"/>
          <w:szCs w:val="24"/>
        </w:rPr>
        <w:t>: 17), mientras que en el grupo Cx fue de 9,5% (P</w:t>
      </w:r>
      <w:r w:rsidRPr="000618DA">
        <w:rPr>
          <w:rFonts w:ascii="Times New Roman" w:hAnsi="Times New Roman"/>
          <w:sz w:val="24"/>
          <w:szCs w:val="24"/>
          <w:vertAlign w:val="subscript"/>
        </w:rPr>
        <w:t>25</w:t>
      </w:r>
      <w:r>
        <w:rPr>
          <w:rFonts w:ascii="Times New Roman" w:hAnsi="Times New Roman"/>
          <w:sz w:val="24"/>
          <w:szCs w:val="24"/>
        </w:rPr>
        <w:t>: 2–P</w:t>
      </w:r>
      <w:r w:rsidRPr="000618DA">
        <w:rPr>
          <w:rFonts w:ascii="Times New Roman" w:hAnsi="Times New Roman"/>
          <w:sz w:val="24"/>
          <w:szCs w:val="24"/>
          <w:vertAlign w:val="subscript"/>
        </w:rPr>
        <w:t>75</w:t>
      </w:r>
      <w:r>
        <w:rPr>
          <w:rFonts w:ascii="Times New Roman" w:hAnsi="Times New Roman"/>
          <w:sz w:val="24"/>
          <w:szCs w:val="24"/>
        </w:rPr>
        <w:t>: 20), sin diferencias significativas entreambos grupos (p=0,33).</w:t>
      </w:r>
    </w:p>
    <w:p w:rsidR="002743FF" w:rsidRPr="000A7A84" w:rsidRDefault="002743FF" w:rsidP="00602067">
      <w:pPr>
        <w:jc w:val="both"/>
        <w:rPr>
          <w:rFonts w:ascii="Times New Roman" w:hAnsi="Times New Roman"/>
          <w:sz w:val="24"/>
          <w:szCs w:val="24"/>
        </w:rPr>
      </w:pPr>
      <w:r w:rsidRPr="000A7A84">
        <w:rPr>
          <w:rFonts w:ascii="Times New Roman" w:hAnsi="Times New Roman"/>
          <w:b/>
          <w:sz w:val="24"/>
          <w:szCs w:val="24"/>
        </w:rPr>
        <w:t xml:space="preserve">Conclusión: </w:t>
      </w:r>
      <w:r w:rsidRPr="000A7A84">
        <w:rPr>
          <w:rFonts w:ascii="Times New Roman" w:hAnsi="Times New Roman"/>
          <w:sz w:val="24"/>
          <w:szCs w:val="24"/>
        </w:rPr>
        <w:t>Si bien en nuestra población se observó una tendencia a un mayor TI por oclusión de la arteria CX,  no pudo demostrarse diferencia estadísticamente significativa entre la oclusión de la</w:t>
      </w:r>
      <w:r>
        <w:rPr>
          <w:rFonts w:ascii="Times New Roman" w:hAnsi="Times New Roman"/>
          <w:sz w:val="24"/>
          <w:szCs w:val="24"/>
        </w:rPr>
        <w:t>s</w:t>
      </w:r>
      <w:r w:rsidRPr="000A7A84">
        <w:rPr>
          <w:rFonts w:ascii="Times New Roman" w:hAnsi="Times New Roman"/>
          <w:sz w:val="24"/>
          <w:szCs w:val="24"/>
        </w:rPr>
        <w:t xml:space="preserve"> arterias CD y Cx en el IAMi.</w:t>
      </w:r>
    </w:p>
    <w:sectPr w:rsidR="002743FF" w:rsidRPr="000A7A84" w:rsidSect="00922F7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17A3"/>
    <w:rsid w:val="00030AC3"/>
    <w:rsid w:val="00034C3D"/>
    <w:rsid w:val="000618DA"/>
    <w:rsid w:val="000A7A84"/>
    <w:rsid w:val="000E0541"/>
    <w:rsid w:val="00106D5D"/>
    <w:rsid w:val="00151755"/>
    <w:rsid w:val="00182E32"/>
    <w:rsid w:val="001A7C86"/>
    <w:rsid w:val="001E4DC6"/>
    <w:rsid w:val="002055F1"/>
    <w:rsid w:val="002316F8"/>
    <w:rsid w:val="002743FF"/>
    <w:rsid w:val="00312A35"/>
    <w:rsid w:val="0033702E"/>
    <w:rsid w:val="004100FE"/>
    <w:rsid w:val="0041112C"/>
    <w:rsid w:val="00422836"/>
    <w:rsid w:val="0051627B"/>
    <w:rsid w:val="00526836"/>
    <w:rsid w:val="00560ACC"/>
    <w:rsid w:val="005825AA"/>
    <w:rsid w:val="005D17A3"/>
    <w:rsid w:val="00602067"/>
    <w:rsid w:val="0066650F"/>
    <w:rsid w:val="006F2C33"/>
    <w:rsid w:val="00710C97"/>
    <w:rsid w:val="00793093"/>
    <w:rsid w:val="007A4576"/>
    <w:rsid w:val="007B1321"/>
    <w:rsid w:val="007C42C2"/>
    <w:rsid w:val="00821842"/>
    <w:rsid w:val="00844329"/>
    <w:rsid w:val="008A312C"/>
    <w:rsid w:val="008E7630"/>
    <w:rsid w:val="00922F74"/>
    <w:rsid w:val="00964941"/>
    <w:rsid w:val="009771EC"/>
    <w:rsid w:val="009A664B"/>
    <w:rsid w:val="00A30BFE"/>
    <w:rsid w:val="00A86BF9"/>
    <w:rsid w:val="00AD1784"/>
    <w:rsid w:val="00B076C7"/>
    <w:rsid w:val="00B6110E"/>
    <w:rsid w:val="00B7366B"/>
    <w:rsid w:val="00B950A0"/>
    <w:rsid w:val="00C42801"/>
    <w:rsid w:val="00CD28A9"/>
    <w:rsid w:val="00D31D93"/>
    <w:rsid w:val="00D510F7"/>
    <w:rsid w:val="00E25217"/>
    <w:rsid w:val="00E555FF"/>
    <w:rsid w:val="00EB45CA"/>
    <w:rsid w:val="00F207D1"/>
    <w:rsid w:val="00F24897"/>
    <w:rsid w:val="00F3554E"/>
    <w:rsid w:val="00FB6B31"/>
    <w:rsid w:val="00FD2262"/>
    <w:rsid w:val="00FD31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ACC"/>
    <w:pPr>
      <w:spacing w:after="200" w:line="276" w:lineRule="auto"/>
    </w:pPr>
    <w:rPr>
      <w:lang w:val="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421</Words>
  <Characters>2320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DEL TAMAÑO DEL INFARTO INFERIOR SEGÚN LA ARTERIA RESPONSABLE</dc:title>
  <dc:subject/>
  <dc:creator>Fernando Bagnera</dc:creator>
  <cp:keywords/>
  <dc:description/>
  <cp:lastModifiedBy>icr</cp:lastModifiedBy>
  <cp:revision>2</cp:revision>
  <dcterms:created xsi:type="dcterms:W3CDTF">2019-04-29T20:52:00Z</dcterms:created>
  <dcterms:modified xsi:type="dcterms:W3CDTF">2019-04-29T20:52:00Z</dcterms:modified>
</cp:coreProperties>
</file>