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CA" w:rsidRDefault="000B3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Análisis de la población derivada al </w:t>
      </w:r>
      <w:r w:rsidR="00DD7228">
        <w:rPr>
          <w:rFonts w:ascii="Times New Roman" w:eastAsia="Times New Roman" w:hAnsi="Times New Roman" w:cs="Times New Roman"/>
          <w:sz w:val="24"/>
        </w:rPr>
        <w:t xml:space="preserve">HEART TEAM </w:t>
      </w:r>
      <w:r>
        <w:rPr>
          <w:rFonts w:ascii="Times New Roman" w:eastAsia="Times New Roman" w:hAnsi="Times New Roman" w:cs="Times New Roman"/>
          <w:sz w:val="24"/>
        </w:rPr>
        <w:t>para</w:t>
      </w:r>
      <w:r w:rsidR="00DD7228">
        <w:rPr>
          <w:rFonts w:ascii="Times New Roman" w:eastAsia="Times New Roman" w:hAnsi="Times New Roman" w:cs="Times New Roman"/>
          <w:sz w:val="24"/>
        </w:rPr>
        <w:t xml:space="preserve"> la toma de decisiones </w:t>
      </w:r>
      <w:r>
        <w:rPr>
          <w:rFonts w:ascii="Times New Roman" w:eastAsia="Times New Roman" w:hAnsi="Times New Roman" w:cs="Times New Roman"/>
          <w:sz w:val="24"/>
        </w:rPr>
        <w:t>terapéuticas</w:t>
      </w:r>
      <w:r w:rsidR="00DD7228">
        <w:rPr>
          <w:rFonts w:ascii="Times New Roman" w:eastAsia="Times New Roman" w:hAnsi="Times New Roman" w:cs="Times New Roman"/>
          <w:sz w:val="24"/>
        </w:rPr>
        <w:t xml:space="preserve">. </w:t>
      </w:r>
    </w:p>
    <w:p w:rsidR="00CE3C96" w:rsidRDefault="00CE3C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67CA" w:rsidRPr="00CE3C96" w:rsidRDefault="00DD7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E3C96">
        <w:rPr>
          <w:rFonts w:ascii="Times New Roman" w:eastAsia="Times New Roman" w:hAnsi="Times New Roman" w:cs="Times New Roman"/>
          <w:i/>
          <w:sz w:val="24"/>
        </w:rPr>
        <w:t>Servicios de Cardiología Clínica (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Dre</w:t>
      </w:r>
      <w:r w:rsidR="006F0A91" w:rsidRPr="00CE3C96">
        <w:rPr>
          <w:rFonts w:ascii="Times New Roman" w:eastAsia="Times New Roman" w:hAnsi="Times New Roman" w:cs="Times New Roman"/>
          <w:i/>
          <w:sz w:val="24"/>
        </w:rPr>
        <w:t>s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Zapata</w:t>
      </w:r>
      <w:proofErr w:type="gramStart"/>
      <w:r w:rsidRPr="00CE3C96">
        <w:rPr>
          <w:rFonts w:ascii="Times New Roman" w:eastAsia="Times New Roman" w:hAnsi="Times New Roman" w:cs="Times New Roman"/>
          <w:i/>
          <w:sz w:val="24"/>
        </w:rPr>
        <w:t>,G</w:t>
      </w:r>
      <w:proofErr w:type="spellEnd"/>
      <w:proofErr w:type="gram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6F0A91" w:rsidRPr="00CE3C9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E3C96">
        <w:rPr>
          <w:rFonts w:ascii="Times New Roman" w:eastAsia="Times New Roman" w:hAnsi="Times New Roman" w:cs="Times New Roman"/>
          <w:i/>
          <w:sz w:val="24"/>
        </w:rPr>
        <w:t xml:space="preserve">y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Meiriño,A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) ,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Hemodinamia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Intervencionista (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Dres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Damonte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A,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Lasave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L, </w:t>
      </w:r>
      <w:proofErr w:type="spellStart"/>
      <w:r w:rsidR="00CE3C96">
        <w:rPr>
          <w:rFonts w:ascii="Times New Roman" w:eastAsia="Times New Roman" w:hAnsi="Times New Roman" w:cs="Times New Roman"/>
          <w:i/>
          <w:sz w:val="24"/>
        </w:rPr>
        <w:t>Kozak</w:t>
      </w:r>
      <w:proofErr w:type="spellEnd"/>
      <w:r w:rsidR="00CE3C96">
        <w:rPr>
          <w:rFonts w:ascii="Times New Roman" w:eastAsia="Times New Roman" w:hAnsi="Times New Roman" w:cs="Times New Roman"/>
          <w:i/>
          <w:sz w:val="24"/>
        </w:rPr>
        <w:t xml:space="preserve">, F,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Rossi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M</w:t>
      </w:r>
      <w:r w:rsidR="006F0A91" w:rsidRPr="00CE3C96">
        <w:rPr>
          <w:rFonts w:ascii="Times New Roman" w:eastAsia="Times New Roman" w:hAnsi="Times New Roman" w:cs="Times New Roman"/>
          <w:i/>
          <w:sz w:val="24"/>
        </w:rPr>
        <w:t xml:space="preserve"> y </w:t>
      </w:r>
      <w:proofErr w:type="spellStart"/>
      <w:r w:rsidR="006F0A91" w:rsidRPr="00CE3C96">
        <w:rPr>
          <w:rFonts w:ascii="Times New Roman" w:eastAsia="Times New Roman" w:hAnsi="Times New Roman" w:cs="Times New Roman"/>
          <w:i/>
          <w:sz w:val="24"/>
        </w:rPr>
        <w:t>Leaden</w:t>
      </w:r>
      <w:proofErr w:type="spellEnd"/>
      <w:r w:rsidR="006F0A91" w:rsidRPr="00CE3C96">
        <w:rPr>
          <w:rFonts w:ascii="Times New Roman" w:eastAsia="Times New Roman" w:hAnsi="Times New Roman" w:cs="Times New Roman"/>
          <w:i/>
          <w:sz w:val="24"/>
        </w:rPr>
        <w:t xml:space="preserve"> Y</w:t>
      </w:r>
      <w:r w:rsidRPr="00CE3C96">
        <w:rPr>
          <w:rFonts w:ascii="Times New Roman" w:eastAsia="Times New Roman" w:hAnsi="Times New Roman" w:cs="Times New Roman"/>
          <w:i/>
          <w:sz w:val="24"/>
        </w:rPr>
        <w:t xml:space="preserve">) y Cirugía Cardiovascular </w:t>
      </w:r>
      <w:proofErr w:type="gramStart"/>
      <w:r w:rsidRPr="00CE3C96">
        <w:rPr>
          <w:rFonts w:ascii="Times New Roman" w:eastAsia="Times New Roman" w:hAnsi="Times New Roman" w:cs="Times New Roman"/>
          <w:i/>
          <w:sz w:val="24"/>
        </w:rPr>
        <w:t xml:space="preserve">(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Dres</w:t>
      </w:r>
      <w:proofErr w:type="spellEnd"/>
      <w:proofErr w:type="gramEnd"/>
      <w:r w:rsidRPr="00CE3C96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Ameriso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JL,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Diodato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L, </w:t>
      </w:r>
      <w:proofErr w:type="spellStart"/>
      <w:r w:rsidRPr="00CE3C96">
        <w:rPr>
          <w:rFonts w:ascii="Times New Roman" w:eastAsia="Times New Roman" w:hAnsi="Times New Roman" w:cs="Times New Roman"/>
          <w:i/>
          <w:sz w:val="24"/>
        </w:rPr>
        <w:t>Geromini</w:t>
      </w:r>
      <w:proofErr w:type="spellEnd"/>
      <w:r w:rsidRPr="00CE3C96">
        <w:rPr>
          <w:rFonts w:ascii="Times New Roman" w:eastAsia="Times New Roman" w:hAnsi="Times New Roman" w:cs="Times New Roman"/>
          <w:i/>
          <w:sz w:val="24"/>
        </w:rPr>
        <w:t xml:space="preserve"> H</w:t>
      </w:r>
      <w:r w:rsidR="006F0A91" w:rsidRPr="00CE3C96">
        <w:rPr>
          <w:rFonts w:ascii="Times New Roman" w:eastAsia="Times New Roman" w:hAnsi="Times New Roman" w:cs="Times New Roman"/>
          <w:i/>
          <w:sz w:val="24"/>
        </w:rPr>
        <w:t xml:space="preserve"> y Fiorito F</w:t>
      </w:r>
      <w:r w:rsidRPr="00CE3C96">
        <w:rPr>
          <w:rFonts w:ascii="Times New Roman" w:eastAsia="Times New Roman" w:hAnsi="Times New Roman" w:cs="Times New Roman"/>
          <w:i/>
          <w:sz w:val="24"/>
        </w:rPr>
        <w:t xml:space="preserve">.) Residencia de Cardiología </w:t>
      </w:r>
      <w:proofErr w:type="gramStart"/>
      <w:r w:rsidRPr="00CE3C96">
        <w:rPr>
          <w:rFonts w:ascii="Times New Roman" w:eastAsia="Times New Roman" w:hAnsi="Times New Roman" w:cs="Times New Roman"/>
          <w:i/>
          <w:sz w:val="24"/>
        </w:rPr>
        <w:t>( Dr</w:t>
      </w:r>
      <w:proofErr w:type="gramEnd"/>
      <w:r w:rsidRPr="00CE3C96">
        <w:rPr>
          <w:rFonts w:ascii="Times New Roman" w:eastAsia="Times New Roman" w:hAnsi="Times New Roman" w:cs="Times New Roman"/>
          <w:i/>
          <w:sz w:val="24"/>
        </w:rPr>
        <w:t>. Leonardo Pilón )</w:t>
      </w:r>
    </w:p>
    <w:p w:rsidR="000067CA" w:rsidRDefault="000067CA">
      <w:pPr>
        <w:spacing w:after="0" w:line="240" w:lineRule="auto"/>
        <w:rPr>
          <w:rFonts w:ascii="Calibri" w:eastAsia="Calibri" w:hAnsi="Calibri" w:cs="Calibri"/>
        </w:rPr>
      </w:pPr>
    </w:p>
    <w:p w:rsidR="000067CA" w:rsidRDefault="00DD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 ACC/AHA y la ESC/EACTS recomiendan la conformación de un equipo multidisciplinario para el tratamiento de los pacientes con enfermedades </w:t>
      </w:r>
      <w:r w:rsidR="00CE3C96">
        <w:rPr>
          <w:rFonts w:ascii="Times New Roman" w:eastAsia="Times New Roman" w:hAnsi="Times New Roman" w:cs="Times New Roman"/>
          <w:sz w:val="24"/>
        </w:rPr>
        <w:t xml:space="preserve">cardiovasculares </w:t>
      </w:r>
      <w:r>
        <w:rPr>
          <w:rFonts w:ascii="Times New Roman" w:eastAsia="Times New Roman" w:hAnsi="Times New Roman" w:cs="Times New Roman"/>
          <w:sz w:val="24"/>
        </w:rPr>
        <w:t xml:space="preserve">complejas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</w:rPr>
        <w:t>Heart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).</w:t>
      </w:r>
    </w:p>
    <w:p w:rsidR="000067CA" w:rsidRDefault="00DD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bien no se ha realizado ningún ensayo </w:t>
      </w:r>
      <w:proofErr w:type="spellStart"/>
      <w:r>
        <w:rPr>
          <w:rFonts w:ascii="Times New Roman" w:eastAsia="Times New Roman" w:hAnsi="Times New Roman" w:cs="Times New Roman"/>
          <w:sz w:val="24"/>
        </w:rPr>
        <w:t>aleatorizado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demostrar su beneficio, existen </w:t>
      </w:r>
      <w:r w:rsidR="00CE3C96">
        <w:rPr>
          <w:rFonts w:ascii="Times New Roman" w:eastAsia="Times New Roman" w:hAnsi="Times New Roman" w:cs="Times New Roman"/>
          <w:sz w:val="24"/>
        </w:rPr>
        <w:t>múltiples</w:t>
      </w:r>
      <w:r>
        <w:rPr>
          <w:rFonts w:ascii="Times New Roman" w:eastAsia="Times New Roman" w:hAnsi="Times New Roman" w:cs="Times New Roman"/>
          <w:sz w:val="24"/>
        </w:rPr>
        <w:t xml:space="preserve"> publicaciones que respaldan la utilidad de un enfoque multidisciplinario basado en la evidencia por sobre las preferencias personales, evitando sesgos en la </w:t>
      </w:r>
      <w:r w:rsidR="00CE3C96">
        <w:rPr>
          <w:rFonts w:ascii="Times New Roman" w:eastAsia="Times New Roman" w:hAnsi="Times New Roman" w:cs="Times New Roman"/>
          <w:sz w:val="24"/>
        </w:rPr>
        <w:t>decisiones</w:t>
      </w:r>
      <w:r>
        <w:rPr>
          <w:rFonts w:ascii="Times New Roman" w:eastAsia="Times New Roman" w:hAnsi="Times New Roman" w:cs="Times New Roman"/>
          <w:sz w:val="24"/>
        </w:rPr>
        <w:t xml:space="preserve">. Además, tiene un valor educativo, permite si es </w:t>
      </w:r>
      <w:proofErr w:type="gramStart"/>
      <w:r>
        <w:rPr>
          <w:rFonts w:ascii="Times New Roman" w:eastAsia="Times New Roman" w:hAnsi="Times New Roman" w:cs="Times New Roman"/>
          <w:sz w:val="24"/>
        </w:rPr>
        <w:t>necesario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realización de </w:t>
      </w:r>
      <w:r w:rsidR="00CE3C96">
        <w:rPr>
          <w:rFonts w:ascii="Times New Roman" w:eastAsia="Times New Roman" w:hAnsi="Times New Roman" w:cs="Times New Roman"/>
          <w:sz w:val="24"/>
        </w:rPr>
        <w:t>auditorías</w:t>
      </w:r>
      <w:r>
        <w:rPr>
          <w:rFonts w:ascii="Times New Roman" w:eastAsia="Times New Roman" w:hAnsi="Times New Roman" w:cs="Times New Roman"/>
          <w:sz w:val="24"/>
        </w:rPr>
        <w:t xml:space="preserve"> y lo más importante brinda transparencia en la elección de los tratamientos con </w:t>
      </w:r>
      <w:r w:rsidR="00CE3C96">
        <w:rPr>
          <w:rFonts w:ascii="Times New Roman" w:eastAsia="Times New Roman" w:hAnsi="Times New Roman" w:cs="Times New Roman"/>
          <w:sz w:val="24"/>
        </w:rPr>
        <w:t>múltiples</w:t>
      </w:r>
      <w:r>
        <w:rPr>
          <w:rFonts w:ascii="Times New Roman" w:eastAsia="Times New Roman" w:hAnsi="Times New Roman" w:cs="Times New Roman"/>
          <w:sz w:val="24"/>
        </w:rPr>
        <w:t xml:space="preserve"> beneficios cuando se producen resultados no esperados.</w:t>
      </w:r>
    </w:p>
    <w:p w:rsidR="000067CA" w:rsidRDefault="00DD722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Metodología de Trabajo:</w:t>
      </w:r>
    </w:p>
    <w:p w:rsidR="000067CA" w:rsidRDefault="004432F0">
      <w:pPr>
        <w:spacing w:after="0" w:line="240" w:lineRule="auto"/>
        <w:rPr>
          <w:rFonts w:ascii="Calibri" w:eastAsia="Calibri" w:hAnsi="Calibri" w:cs="Calibri"/>
        </w:rPr>
      </w:pPr>
      <w:r w:rsidRPr="004432F0">
        <w:rPr>
          <w:rFonts w:ascii="Calibri" w:eastAsia="Calibri" w:hAnsi="Calibri" w:cs="Calibri"/>
          <w:noProof/>
        </w:rPr>
        <w:drawing>
          <wp:inline distT="0" distB="0" distL="0" distR="0">
            <wp:extent cx="4572000" cy="342455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CA" w:rsidRDefault="000067CA">
      <w:pPr>
        <w:spacing w:after="0" w:line="240" w:lineRule="auto"/>
        <w:rPr>
          <w:rFonts w:ascii="Calibri" w:eastAsia="Calibri" w:hAnsi="Calibri" w:cs="Calibri"/>
        </w:rPr>
      </w:pPr>
    </w:p>
    <w:p w:rsidR="004432F0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Aspectos a evaluar en cada reunión: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 Condición </w:t>
      </w:r>
      <w:r w:rsidR="004432F0">
        <w:rPr>
          <w:rFonts w:ascii="Times New Roman" w:eastAsia="Times New Roman" w:hAnsi="Times New Roman" w:cs="Times New Roman"/>
          <w:sz w:val="24"/>
        </w:rPr>
        <w:t>clínica</w:t>
      </w:r>
      <w:r>
        <w:rPr>
          <w:rFonts w:ascii="Times New Roman" w:eastAsia="Times New Roman" w:hAnsi="Times New Roman" w:cs="Times New Roman"/>
          <w:sz w:val="24"/>
        </w:rPr>
        <w:t xml:space="preserve"> del paciente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 Calidad y tipo de estudios previos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3- Scores de riesgo relacionados a la intervención planeada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4- Score de fragilidad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5- Necesidad de nuevos estudios</w:t>
      </w:r>
    </w:p>
    <w:p w:rsidR="004432F0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6- Necesidad de nueva </w:t>
      </w:r>
      <w:r w:rsidR="004432F0">
        <w:rPr>
          <w:rFonts w:ascii="Times New Roman" w:eastAsia="Times New Roman" w:hAnsi="Times New Roman" w:cs="Times New Roman"/>
          <w:sz w:val="24"/>
        </w:rPr>
        <w:t>reunión</w:t>
      </w: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7- Tipo de prestador de salud</w:t>
      </w:r>
    </w:p>
    <w:p w:rsidR="000B3C8A" w:rsidRDefault="000B3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3F33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Población:</w:t>
      </w:r>
      <w:r w:rsidR="004432F0">
        <w:rPr>
          <w:rFonts w:ascii="Times New Roman" w:eastAsia="Times New Roman" w:hAnsi="Times New Roman" w:cs="Times New Roman"/>
          <w:sz w:val="24"/>
        </w:rPr>
        <w:t xml:space="preserve"> </w:t>
      </w:r>
    </w:p>
    <w:p w:rsidR="00EB71C8" w:rsidRDefault="004432F0" w:rsidP="0019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111 pacientes derivados</w:t>
      </w:r>
      <w:r w:rsidR="00CE3C96">
        <w:rPr>
          <w:rFonts w:ascii="Times New Roman" w:eastAsia="Times New Roman" w:hAnsi="Times New Roman" w:cs="Times New Roman"/>
          <w:sz w:val="24"/>
        </w:rPr>
        <w:t xml:space="preserve"> entre los años </w:t>
      </w:r>
      <w:r w:rsidR="000B3C8A">
        <w:rPr>
          <w:rFonts w:ascii="Times New Roman" w:eastAsia="Times New Roman" w:hAnsi="Times New Roman" w:cs="Times New Roman"/>
          <w:sz w:val="24"/>
        </w:rPr>
        <w:t xml:space="preserve"> 2014 a 2018</w:t>
      </w:r>
      <w:r>
        <w:rPr>
          <w:rFonts w:ascii="Times New Roman" w:eastAsia="Times New Roman" w:hAnsi="Times New Roman" w:cs="Times New Roman"/>
          <w:sz w:val="24"/>
        </w:rPr>
        <w:t xml:space="preserve">, edad promedio 80 años </w:t>
      </w:r>
      <w:r>
        <w:rPr>
          <w:rFonts w:ascii="Times New Roman" w:eastAsia="Times New Roman" w:hAnsi="Times New Roman" w:cs="Times New Roman"/>
          <w:sz w:val="24"/>
        </w:rPr>
        <w:sym w:font="Symbol" w:char="F0B1"/>
      </w:r>
      <w:r>
        <w:rPr>
          <w:rFonts w:ascii="Times New Roman" w:eastAsia="Times New Roman" w:hAnsi="Times New Roman" w:cs="Times New Roman"/>
          <w:sz w:val="24"/>
        </w:rPr>
        <w:t xml:space="preserve"> 8.9 </w:t>
      </w:r>
      <w:proofErr w:type="gramStart"/>
      <w:r>
        <w:rPr>
          <w:rFonts w:ascii="Times New Roman" w:eastAsia="Times New Roman" w:hAnsi="Times New Roman" w:cs="Times New Roman"/>
          <w:sz w:val="24"/>
        </w:rPr>
        <w:t>( rango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49 a 92 años)</w:t>
      </w:r>
      <w:r w:rsidR="000B3C8A">
        <w:rPr>
          <w:rFonts w:ascii="Times New Roman" w:eastAsia="Times New Roman" w:hAnsi="Times New Roman" w:cs="Times New Roman"/>
          <w:sz w:val="24"/>
        </w:rPr>
        <w:t xml:space="preserve">.  </w:t>
      </w:r>
      <w:r w:rsidR="00230364">
        <w:rPr>
          <w:rFonts w:ascii="Times New Roman" w:eastAsia="Times New Roman" w:hAnsi="Times New Roman" w:cs="Times New Roman"/>
          <w:sz w:val="24"/>
        </w:rPr>
        <w:t>Pacientes de s</w:t>
      </w:r>
      <w:r w:rsidR="00EB71C8">
        <w:rPr>
          <w:rFonts w:ascii="Times New Roman" w:eastAsia="Times New Roman" w:hAnsi="Times New Roman" w:cs="Times New Roman"/>
          <w:sz w:val="24"/>
        </w:rPr>
        <w:t xml:space="preserve">exo masculino 66 (59.4%),  </w:t>
      </w:r>
      <w:r w:rsidR="00230364">
        <w:rPr>
          <w:rFonts w:ascii="Times New Roman" w:eastAsia="Times New Roman" w:hAnsi="Times New Roman" w:cs="Times New Roman"/>
          <w:sz w:val="24"/>
        </w:rPr>
        <w:t xml:space="preserve">con </w:t>
      </w:r>
      <w:r w:rsidR="00EB71C8">
        <w:rPr>
          <w:rFonts w:ascii="Times New Roman" w:eastAsia="Times New Roman" w:hAnsi="Times New Roman" w:cs="Times New Roman"/>
          <w:sz w:val="24"/>
        </w:rPr>
        <w:t xml:space="preserve">diabetes </w:t>
      </w:r>
      <w:proofErr w:type="spellStart"/>
      <w:r w:rsidR="00EB71C8">
        <w:rPr>
          <w:rFonts w:ascii="Times New Roman" w:eastAsia="Times New Roman" w:hAnsi="Times New Roman" w:cs="Times New Roman"/>
          <w:sz w:val="24"/>
        </w:rPr>
        <w:t>mellitus</w:t>
      </w:r>
      <w:proofErr w:type="spellEnd"/>
      <w:r w:rsidR="00EB71C8">
        <w:rPr>
          <w:rFonts w:ascii="Times New Roman" w:eastAsia="Times New Roman" w:hAnsi="Times New Roman" w:cs="Times New Roman"/>
          <w:sz w:val="24"/>
        </w:rPr>
        <w:t xml:space="preserve"> 24 (21.6%), infarto o SCA previo 43 (38.7%),  </w:t>
      </w:r>
      <w:proofErr w:type="spellStart"/>
      <w:r w:rsidR="00EB71C8">
        <w:rPr>
          <w:rFonts w:ascii="Times New Roman" w:eastAsia="Times New Roman" w:hAnsi="Times New Roman" w:cs="Times New Roman"/>
          <w:sz w:val="24"/>
        </w:rPr>
        <w:t>stroke</w:t>
      </w:r>
      <w:proofErr w:type="spellEnd"/>
      <w:r w:rsidR="00EB71C8">
        <w:rPr>
          <w:rFonts w:ascii="Times New Roman" w:eastAsia="Times New Roman" w:hAnsi="Times New Roman" w:cs="Times New Roman"/>
          <w:sz w:val="24"/>
        </w:rPr>
        <w:t xml:space="preserve"> prev</w:t>
      </w:r>
      <w:r w:rsidR="00230364">
        <w:rPr>
          <w:rFonts w:ascii="Times New Roman" w:eastAsia="Times New Roman" w:hAnsi="Times New Roman" w:cs="Times New Roman"/>
          <w:sz w:val="24"/>
        </w:rPr>
        <w:t>i</w:t>
      </w:r>
      <w:r w:rsidR="00EB71C8">
        <w:rPr>
          <w:rFonts w:ascii="Times New Roman" w:eastAsia="Times New Roman" w:hAnsi="Times New Roman" w:cs="Times New Roman"/>
          <w:sz w:val="24"/>
        </w:rPr>
        <w:t xml:space="preserve">o 16 ( 14.4%), insuficiencia cardiaca 37 (33.3%),  fibrilación auricular 30 (27%), marcapasos definitivo </w:t>
      </w:r>
      <w:r w:rsidR="00230364">
        <w:rPr>
          <w:rFonts w:ascii="Times New Roman" w:eastAsia="Times New Roman" w:hAnsi="Times New Roman" w:cs="Times New Roman"/>
          <w:sz w:val="24"/>
        </w:rPr>
        <w:t xml:space="preserve">19 (17.1%), un </w:t>
      </w:r>
      <w:proofErr w:type="spellStart"/>
      <w:r w:rsidR="00230364">
        <w:rPr>
          <w:rFonts w:ascii="Times New Roman" w:eastAsia="Times New Roman" w:hAnsi="Times New Roman" w:cs="Times New Roman"/>
          <w:sz w:val="24"/>
        </w:rPr>
        <w:t>clearence</w:t>
      </w:r>
      <w:proofErr w:type="spellEnd"/>
      <w:r w:rsidR="00230364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230364">
        <w:rPr>
          <w:rFonts w:ascii="Times New Roman" w:eastAsia="Times New Roman" w:hAnsi="Times New Roman" w:cs="Times New Roman"/>
          <w:sz w:val="24"/>
        </w:rPr>
        <w:t>creatinina</w:t>
      </w:r>
      <w:proofErr w:type="spellEnd"/>
      <w:r w:rsidR="00230364">
        <w:rPr>
          <w:rFonts w:ascii="Times New Roman" w:eastAsia="Times New Roman" w:hAnsi="Times New Roman" w:cs="Times New Roman"/>
          <w:sz w:val="24"/>
        </w:rPr>
        <w:t xml:space="preserve"> </w:t>
      </w:r>
      <w:r w:rsidR="00230364">
        <w:rPr>
          <w:rFonts w:ascii="Times New Roman" w:eastAsia="Times New Roman" w:hAnsi="Times New Roman" w:cs="Times New Roman"/>
          <w:sz w:val="24"/>
        </w:rPr>
        <w:sym w:font="Symbol" w:char="F0A3"/>
      </w:r>
      <w:r w:rsidR="00230364">
        <w:rPr>
          <w:rFonts w:ascii="Times New Roman" w:eastAsia="Times New Roman" w:hAnsi="Times New Roman" w:cs="Times New Roman"/>
          <w:sz w:val="24"/>
        </w:rPr>
        <w:t xml:space="preserve"> a 60 ( insuficiencia renal moderada a severa) 59 (53.1%), anemia 20 (18%), EPOC severa 17 (15.3%), deterioro de la función del VI – </w:t>
      </w:r>
      <w:proofErr w:type="spellStart"/>
      <w:r w:rsidR="00230364">
        <w:rPr>
          <w:rFonts w:ascii="Times New Roman" w:eastAsia="Times New Roman" w:hAnsi="Times New Roman" w:cs="Times New Roman"/>
          <w:sz w:val="24"/>
        </w:rPr>
        <w:t>Fey</w:t>
      </w:r>
      <w:proofErr w:type="spellEnd"/>
      <w:r w:rsidR="00230364">
        <w:rPr>
          <w:rFonts w:ascii="Times New Roman" w:eastAsia="Times New Roman" w:hAnsi="Times New Roman" w:cs="Times New Roman"/>
          <w:sz w:val="24"/>
        </w:rPr>
        <w:t xml:space="preserve"> </w:t>
      </w:r>
      <w:r w:rsidR="00230364">
        <w:rPr>
          <w:rFonts w:ascii="Times New Roman" w:eastAsia="Times New Roman" w:hAnsi="Times New Roman" w:cs="Times New Roman"/>
          <w:sz w:val="24"/>
        </w:rPr>
        <w:sym w:font="Symbol" w:char="F0A3"/>
      </w:r>
      <w:r w:rsidR="00230364">
        <w:rPr>
          <w:rFonts w:ascii="Times New Roman" w:eastAsia="Times New Roman" w:hAnsi="Times New Roman" w:cs="Times New Roman"/>
          <w:sz w:val="24"/>
        </w:rPr>
        <w:t xml:space="preserve"> 50% 44 (39.6%).</w:t>
      </w:r>
    </w:p>
    <w:p w:rsidR="00230364" w:rsidRDefault="002303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7E10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Enfermedad motivo de la derivación:</w:t>
      </w:r>
    </w:p>
    <w:p w:rsidR="005A3F33" w:rsidRDefault="005A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Coronarios</w:t>
      </w:r>
      <w:r w:rsidR="00917E10">
        <w:rPr>
          <w:rFonts w:ascii="Times New Roman" w:eastAsia="Times New Roman" w:hAnsi="Times New Roman" w:cs="Times New Roman"/>
          <w:sz w:val="24"/>
        </w:rPr>
        <w:t xml:space="preserve"> pur</w:t>
      </w:r>
      <w:r w:rsidR="000B3C8A">
        <w:rPr>
          <w:rFonts w:ascii="Times New Roman" w:eastAsia="Times New Roman" w:hAnsi="Times New Roman" w:cs="Times New Roman"/>
          <w:sz w:val="24"/>
        </w:rPr>
        <w:t xml:space="preserve">os o asociados a </w:t>
      </w:r>
      <w:proofErr w:type="spellStart"/>
      <w:r w:rsidR="000B3C8A">
        <w:rPr>
          <w:rFonts w:ascii="Times New Roman" w:eastAsia="Times New Roman" w:hAnsi="Times New Roman" w:cs="Times New Roman"/>
          <w:sz w:val="24"/>
        </w:rPr>
        <w:t>valvulopatías</w:t>
      </w:r>
      <w:proofErr w:type="spellEnd"/>
      <w:r w:rsidR="000B3C8A">
        <w:rPr>
          <w:rFonts w:ascii="Times New Roman" w:eastAsia="Times New Roman" w:hAnsi="Times New Roman" w:cs="Times New Roman"/>
          <w:sz w:val="24"/>
        </w:rPr>
        <w:t xml:space="preserve"> 2</w:t>
      </w:r>
      <w:r w:rsidR="00917E10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17E10">
        <w:rPr>
          <w:rFonts w:ascii="Times New Roman" w:eastAsia="Times New Roman" w:hAnsi="Times New Roman" w:cs="Times New Roman"/>
          <w:sz w:val="24"/>
        </w:rPr>
        <w:t>(</w:t>
      </w:r>
      <w:r w:rsidR="000B3C8A">
        <w:rPr>
          <w:rFonts w:ascii="Times New Roman" w:eastAsia="Times New Roman" w:hAnsi="Times New Roman" w:cs="Times New Roman"/>
          <w:sz w:val="24"/>
        </w:rPr>
        <w:t>24</w:t>
      </w:r>
      <w:r w:rsidR="00917E10">
        <w:rPr>
          <w:rFonts w:ascii="Times New Roman" w:eastAsia="Times New Roman" w:hAnsi="Times New Roman" w:cs="Times New Roman"/>
          <w:sz w:val="24"/>
        </w:rPr>
        <w:t>.3%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917E10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Valvulares </w:t>
      </w:r>
      <w:r w:rsidR="00917E10">
        <w:rPr>
          <w:rFonts w:ascii="Times New Roman" w:eastAsia="Times New Roman" w:hAnsi="Times New Roman" w:cs="Times New Roman"/>
          <w:sz w:val="24"/>
        </w:rPr>
        <w:t xml:space="preserve"> Estenosis aortica 79 (71.1%)</w:t>
      </w:r>
    </w:p>
    <w:p w:rsidR="000067CA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Insuficiencia mitral 11 (10.8%)</w:t>
      </w:r>
    </w:p>
    <w:p w:rsidR="00917E10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7E10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Patologías de la aorta 13 (11.7%)</w:t>
      </w:r>
    </w:p>
    <w:p w:rsidR="00917E10" w:rsidRDefault="00917E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Decisiones:</w:t>
      </w:r>
      <w:r w:rsidR="00917E10">
        <w:rPr>
          <w:rFonts w:ascii="Times New Roman" w:eastAsia="Times New Roman" w:hAnsi="Times New Roman" w:cs="Times New Roman"/>
          <w:sz w:val="24"/>
        </w:rPr>
        <w:t xml:space="preserve"> </w:t>
      </w:r>
    </w:p>
    <w:p w:rsidR="000067CA" w:rsidRDefault="000067CA">
      <w:pPr>
        <w:spacing w:after="0" w:line="240" w:lineRule="auto"/>
        <w:rPr>
          <w:rFonts w:ascii="Calibri" w:eastAsia="Calibri" w:hAnsi="Calibri" w:cs="Calibri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Coronarios:</w:t>
      </w:r>
      <w:r w:rsidR="00A44AF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B3C8A">
        <w:rPr>
          <w:rFonts w:ascii="Times New Roman" w:eastAsia="Times New Roman" w:hAnsi="Times New Roman" w:cs="Times New Roman"/>
          <w:sz w:val="24"/>
        </w:rPr>
        <w:t>Angioplastía</w:t>
      </w:r>
      <w:proofErr w:type="spellEnd"/>
      <w:r w:rsidR="000B3C8A">
        <w:rPr>
          <w:rFonts w:ascii="Times New Roman" w:eastAsia="Times New Roman" w:hAnsi="Times New Roman" w:cs="Times New Roman"/>
          <w:sz w:val="24"/>
        </w:rPr>
        <w:t xml:space="preserve"> coronaria 18 (66.6%)</w:t>
      </w:r>
    </w:p>
    <w:p w:rsidR="000B3C8A" w:rsidRDefault="000B3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Cirugía de revascularización </w:t>
      </w:r>
      <w:proofErr w:type="spellStart"/>
      <w:r>
        <w:rPr>
          <w:rFonts w:ascii="Times New Roman" w:eastAsia="Times New Roman" w:hAnsi="Times New Roman" w:cs="Times New Roman"/>
          <w:sz w:val="24"/>
        </w:rPr>
        <w:t>miocárdica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(25.9%)</w:t>
      </w:r>
    </w:p>
    <w:p w:rsidR="000B3C8A" w:rsidRDefault="000B3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Tratamiento médico 2 (7.4%)</w:t>
      </w:r>
    </w:p>
    <w:p w:rsidR="000067CA" w:rsidRDefault="000067CA">
      <w:pPr>
        <w:spacing w:after="0" w:line="240" w:lineRule="auto"/>
        <w:rPr>
          <w:rFonts w:ascii="Calibri" w:eastAsia="Calibri" w:hAnsi="Calibri" w:cs="Calibri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Valvulares </w:t>
      </w:r>
      <w:proofErr w:type="spellStart"/>
      <w:r>
        <w:rPr>
          <w:rFonts w:ascii="Times New Roman" w:eastAsia="Times New Roman" w:hAnsi="Times New Roman" w:cs="Times New Roman"/>
          <w:sz w:val="24"/>
        </w:rPr>
        <w:t>Aorticos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="00A44AF1">
        <w:rPr>
          <w:rFonts w:ascii="Times New Roman" w:eastAsia="Times New Roman" w:hAnsi="Times New Roman" w:cs="Times New Roman"/>
          <w:sz w:val="24"/>
        </w:rPr>
        <w:t xml:space="preserve"> Implante valvular percutáneo (TAVI) 55 (69.6%)</w:t>
      </w:r>
    </w:p>
    <w:p w:rsidR="00A44AF1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A44AF1">
        <w:rPr>
          <w:rFonts w:ascii="Times New Roman" w:eastAsia="Times New Roman" w:hAnsi="Times New Roman" w:cs="Times New Roman"/>
          <w:sz w:val="24"/>
        </w:rPr>
        <w:t xml:space="preserve">               Cirugía de recambio valvular 15 (18.9%)</w:t>
      </w:r>
    </w:p>
    <w:p w:rsidR="00A44AF1" w:rsidRDefault="00A44A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Tratamiento médico</w:t>
      </w:r>
      <w:r w:rsidR="00CE3C96">
        <w:rPr>
          <w:rFonts w:ascii="Times New Roman" w:eastAsia="Times New Roman" w:hAnsi="Times New Roman" w:cs="Times New Roman"/>
          <w:sz w:val="24"/>
        </w:rPr>
        <w:t xml:space="preserve"> 9 </w:t>
      </w:r>
      <w:r>
        <w:rPr>
          <w:rFonts w:ascii="Times New Roman" w:eastAsia="Times New Roman" w:hAnsi="Times New Roman" w:cs="Times New Roman"/>
          <w:sz w:val="24"/>
        </w:rPr>
        <w:t>(11.3%)</w:t>
      </w:r>
    </w:p>
    <w:p w:rsidR="005A3F33" w:rsidRDefault="005A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7228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Mitrales:</w:t>
      </w:r>
      <w:r w:rsidR="00A44AF1">
        <w:rPr>
          <w:rFonts w:ascii="Times New Roman" w:eastAsia="Times New Roman" w:hAnsi="Times New Roman" w:cs="Times New Roman"/>
          <w:sz w:val="24"/>
        </w:rPr>
        <w:t xml:space="preserve"> Mitra clips 5 (45.4%)</w:t>
      </w:r>
    </w:p>
    <w:p w:rsidR="00A44AF1" w:rsidRDefault="00A44A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Cirugía valvular 4 (36.3%)</w:t>
      </w:r>
    </w:p>
    <w:p w:rsidR="00A44AF1" w:rsidRDefault="00A44A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Tratamiento médico 2 (18.1%)</w:t>
      </w:r>
    </w:p>
    <w:p w:rsidR="00193300" w:rsidRDefault="001933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3F33" w:rsidRDefault="005A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Patologías de la aorta: Cirugía 8 (61.5%)</w:t>
      </w:r>
    </w:p>
    <w:p w:rsidR="005A3F33" w:rsidRDefault="005A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Endopr</w:t>
      </w:r>
      <w:r w:rsidR="00CE3C96">
        <w:rPr>
          <w:rFonts w:ascii="Times New Roman" w:eastAsia="Times New Roman" w:hAnsi="Times New Roman" w:cs="Times New Roman"/>
          <w:sz w:val="24"/>
        </w:rPr>
        <w:t>ó</w:t>
      </w:r>
      <w:r>
        <w:rPr>
          <w:rFonts w:ascii="Times New Roman" w:eastAsia="Times New Roman" w:hAnsi="Times New Roman" w:cs="Times New Roman"/>
          <w:sz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 (30.7%)</w:t>
      </w:r>
    </w:p>
    <w:p w:rsidR="005A3F33" w:rsidRDefault="005A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Tratamiento médico 2 (15.3%)</w:t>
      </w:r>
    </w:p>
    <w:p w:rsidR="000067CA" w:rsidRDefault="00DD722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</w:t>
      </w:r>
      <w:r w:rsidR="005A3F33">
        <w:rPr>
          <w:rFonts w:ascii="Calibri" w:eastAsia="Calibri" w:hAnsi="Calibri" w:cs="Calibri"/>
        </w:rPr>
        <w:t xml:space="preserve">                       </w:t>
      </w:r>
    </w:p>
    <w:p w:rsidR="000067CA" w:rsidRDefault="000067CA">
      <w:pPr>
        <w:spacing w:after="0" w:line="240" w:lineRule="auto"/>
        <w:rPr>
          <w:rFonts w:ascii="Calibri" w:eastAsia="Calibri" w:hAnsi="Calibri" w:cs="Calibri"/>
        </w:rPr>
      </w:pPr>
    </w:p>
    <w:p w:rsidR="000067CA" w:rsidRDefault="00DD7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Conclusiones:</w:t>
      </w:r>
    </w:p>
    <w:p w:rsidR="000B3C8A" w:rsidRDefault="000B3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67CA" w:rsidRDefault="000B3C8A" w:rsidP="001933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La población derivada al </w:t>
      </w:r>
      <w:proofErr w:type="spellStart"/>
      <w:r>
        <w:rPr>
          <w:rFonts w:ascii="Times New Roman" w:eastAsia="Times New Roman" w:hAnsi="Times New Roman" w:cs="Times New Roman"/>
          <w:sz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presenta un perfil de alto riesgo, </w:t>
      </w:r>
      <w:r w:rsidR="005A3F33">
        <w:rPr>
          <w:rFonts w:ascii="Times New Roman" w:eastAsia="Times New Roman" w:hAnsi="Times New Roman" w:cs="Times New Roman"/>
          <w:sz w:val="24"/>
        </w:rPr>
        <w:t xml:space="preserve">por edad y </w:t>
      </w:r>
      <w:proofErr w:type="spellStart"/>
      <w:r w:rsidR="005A3F33">
        <w:rPr>
          <w:rFonts w:ascii="Times New Roman" w:eastAsia="Times New Roman" w:hAnsi="Times New Roman" w:cs="Times New Roman"/>
          <w:sz w:val="24"/>
        </w:rPr>
        <w:t>co</w:t>
      </w:r>
      <w:proofErr w:type="spellEnd"/>
      <w:r w:rsidR="00193300">
        <w:rPr>
          <w:rFonts w:ascii="Times New Roman" w:eastAsia="Times New Roman" w:hAnsi="Times New Roman" w:cs="Times New Roman"/>
          <w:sz w:val="24"/>
        </w:rPr>
        <w:t>-</w:t>
      </w:r>
      <w:r w:rsidR="005A3F33">
        <w:rPr>
          <w:rFonts w:ascii="Times New Roman" w:eastAsia="Times New Roman" w:hAnsi="Times New Roman" w:cs="Times New Roman"/>
          <w:sz w:val="24"/>
        </w:rPr>
        <w:t xml:space="preserve">morbilidades. La principal patología analizada para la toma de decisiones fue la estenosis aortica y el implante valvular </w:t>
      </w:r>
      <w:proofErr w:type="spellStart"/>
      <w:r w:rsidR="005A3F33">
        <w:rPr>
          <w:rFonts w:ascii="Times New Roman" w:eastAsia="Times New Roman" w:hAnsi="Times New Roman" w:cs="Times New Roman"/>
          <w:sz w:val="24"/>
        </w:rPr>
        <w:t>transcutaneo</w:t>
      </w:r>
      <w:proofErr w:type="spellEnd"/>
      <w:r w:rsidR="005A3F33">
        <w:rPr>
          <w:rFonts w:ascii="Times New Roman" w:eastAsia="Times New Roman" w:hAnsi="Times New Roman" w:cs="Times New Roman"/>
          <w:sz w:val="24"/>
        </w:rPr>
        <w:t xml:space="preserve"> (TAVI)</w:t>
      </w:r>
      <w:r w:rsidR="00CE3C96">
        <w:rPr>
          <w:rFonts w:ascii="Times New Roman" w:eastAsia="Times New Roman" w:hAnsi="Times New Roman" w:cs="Times New Roman"/>
          <w:sz w:val="24"/>
        </w:rPr>
        <w:t xml:space="preserve"> fue</w:t>
      </w:r>
      <w:r w:rsidR="005A3F33">
        <w:rPr>
          <w:rFonts w:ascii="Times New Roman" w:eastAsia="Times New Roman" w:hAnsi="Times New Roman" w:cs="Times New Roman"/>
          <w:sz w:val="24"/>
        </w:rPr>
        <w:t xml:space="preserve"> la indicación más común. </w:t>
      </w:r>
    </w:p>
    <w:p w:rsidR="000067CA" w:rsidRDefault="000067CA" w:rsidP="0019330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0067CA" w:rsidSect="00384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7CA"/>
    <w:rsid w:val="000067CA"/>
    <w:rsid w:val="000B3C8A"/>
    <w:rsid w:val="000E6914"/>
    <w:rsid w:val="00193300"/>
    <w:rsid w:val="00230364"/>
    <w:rsid w:val="00384543"/>
    <w:rsid w:val="004432F0"/>
    <w:rsid w:val="004742E1"/>
    <w:rsid w:val="005A3F33"/>
    <w:rsid w:val="006F0A91"/>
    <w:rsid w:val="00917E10"/>
    <w:rsid w:val="00A44AF1"/>
    <w:rsid w:val="00CE3C96"/>
    <w:rsid w:val="00DD7228"/>
    <w:rsid w:val="00E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</cp:lastModifiedBy>
  <cp:revision>6</cp:revision>
  <dcterms:created xsi:type="dcterms:W3CDTF">2019-02-23T15:19:00Z</dcterms:created>
  <dcterms:modified xsi:type="dcterms:W3CDTF">2019-02-24T16:15:00Z</dcterms:modified>
</cp:coreProperties>
</file>